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5B4A" w:rsidRPr="006B0CFE" w:rsidRDefault="00681871" w:rsidP="00D35B4A">
      <w:pPr>
        <w:pStyle w:val="a1"/>
        <w:rPr>
          <w:rFonts w:ascii="Times New Roman" w:eastAsia="SimSun" w:hAnsi="Times New Roman"/>
          <w:bCs w:val="0"/>
          <w:sz w:val="24"/>
          <w:lang w:eastAsia="zh-CN"/>
        </w:rPr>
      </w:pPr>
      <w:bookmarkStart w:id="0" w:name="_Ref399006623"/>
      <w:bookmarkStart w:id="1" w:name="_Toc92513360"/>
      <w:r w:rsidRPr="006B0CFE">
        <w:rPr>
          <w:rFonts w:ascii="Times New Roman" w:eastAsia="SimSun" w:hAnsi="Times New Roman"/>
          <w:bCs w:val="0"/>
          <w:sz w:val="24"/>
          <w:lang w:eastAsia="zh-CN"/>
        </w:rPr>
        <w:t>3GPP TSG-RAN WG4 Meeting #9</w:t>
      </w:r>
      <w:r w:rsidR="00EA1114" w:rsidRPr="006B0CFE">
        <w:rPr>
          <w:rFonts w:ascii="Times New Roman" w:eastAsia="SimSun" w:hAnsi="Times New Roman"/>
          <w:bCs w:val="0"/>
          <w:sz w:val="24"/>
          <w:lang w:eastAsia="zh-CN"/>
        </w:rPr>
        <w:t>5</w:t>
      </w:r>
      <w:r w:rsidRPr="006B0CFE">
        <w:rPr>
          <w:rFonts w:ascii="Times New Roman" w:eastAsia="SimSun" w:hAnsi="Times New Roman"/>
          <w:bCs w:val="0"/>
          <w:sz w:val="24"/>
          <w:lang w:eastAsia="zh-CN"/>
        </w:rPr>
        <w:t>-e</w:t>
      </w:r>
      <w:r w:rsidR="00EA1114" w:rsidRPr="006B0CFE">
        <w:rPr>
          <w:rFonts w:ascii="Times New Roman" w:eastAsia="SimSun" w:hAnsi="Times New Roman"/>
          <w:bCs w:val="0"/>
          <w:sz w:val="24"/>
          <w:lang w:eastAsia="zh-CN"/>
        </w:rPr>
        <w:tab/>
      </w:r>
      <w:r w:rsidR="00EA1114" w:rsidRPr="006B0CFE">
        <w:rPr>
          <w:rFonts w:ascii="Times New Roman" w:eastAsia="SimSun" w:hAnsi="Times New Roman"/>
          <w:bCs w:val="0"/>
          <w:sz w:val="24"/>
          <w:lang w:eastAsia="zh-CN"/>
        </w:rPr>
        <w:tab/>
      </w:r>
      <w:r w:rsidR="00D35B4A" w:rsidRPr="006B0CFE">
        <w:rPr>
          <w:rFonts w:ascii="Times New Roman" w:eastAsia="SimSun" w:hAnsi="Times New Roman"/>
          <w:bCs w:val="0"/>
          <w:sz w:val="24"/>
          <w:lang w:eastAsia="zh-CN"/>
        </w:rPr>
        <w:t xml:space="preserve">                               </w:t>
      </w:r>
      <w:r w:rsidRPr="006B0CFE">
        <w:rPr>
          <w:rFonts w:ascii="Times New Roman" w:eastAsia="SimSun" w:hAnsi="Times New Roman"/>
          <w:bCs w:val="0"/>
          <w:sz w:val="24"/>
          <w:lang w:eastAsia="zh-CN"/>
        </w:rPr>
        <w:t>R4-200</w:t>
      </w:r>
      <w:r w:rsidR="00284F31">
        <w:rPr>
          <w:rFonts w:ascii="Times New Roman" w:eastAsia="SimSun" w:hAnsi="Times New Roman"/>
          <w:bCs w:val="0"/>
          <w:sz w:val="24"/>
          <w:lang w:eastAsia="zh-CN"/>
        </w:rPr>
        <w:t>8132</w:t>
      </w:r>
    </w:p>
    <w:p w:rsidR="00524F35" w:rsidRPr="006B0CFE" w:rsidRDefault="00681871" w:rsidP="00524F35">
      <w:pPr>
        <w:pStyle w:val="Header"/>
        <w:tabs>
          <w:tab w:val="left" w:pos="8040"/>
        </w:tabs>
        <w:spacing w:line="280" w:lineRule="exact"/>
        <w:rPr>
          <w:rFonts w:ascii="Times New Roman" w:hAnsi="Times New Roman"/>
          <w:sz w:val="24"/>
          <w:szCs w:val="24"/>
          <w:lang w:val="en-US"/>
        </w:rPr>
      </w:pPr>
      <w:bookmarkStart w:id="2" w:name="OLE_LINK49"/>
      <w:r w:rsidRPr="006B0CFE">
        <w:rPr>
          <w:rFonts w:ascii="Times New Roman" w:hAnsi="Times New Roman"/>
          <w:sz w:val="24"/>
          <w:szCs w:val="24"/>
          <w:lang w:val="en-US"/>
        </w:rPr>
        <w:t>Electronic Meeting, 2</w:t>
      </w:r>
      <w:r w:rsidR="00EA1114" w:rsidRPr="006B0CFE">
        <w:rPr>
          <w:rFonts w:ascii="Times New Roman" w:hAnsi="Times New Roman"/>
          <w:sz w:val="24"/>
          <w:szCs w:val="24"/>
          <w:lang w:val="en-US"/>
        </w:rPr>
        <w:t>5 May</w:t>
      </w:r>
      <w:r w:rsidRPr="006B0CFE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EA1114" w:rsidRPr="006B0CFE">
        <w:rPr>
          <w:rFonts w:ascii="Times New Roman" w:hAnsi="Times New Roman"/>
          <w:sz w:val="24"/>
          <w:szCs w:val="24"/>
          <w:lang w:val="en-US"/>
        </w:rPr>
        <w:t>6</w:t>
      </w:r>
      <w:r w:rsidRPr="006B0CF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A1114" w:rsidRPr="006B0CFE">
        <w:rPr>
          <w:rFonts w:ascii="Times New Roman" w:hAnsi="Times New Roman"/>
          <w:sz w:val="24"/>
          <w:szCs w:val="24"/>
          <w:lang w:val="en-US"/>
        </w:rPr>
        <w:t>June</w:t>
      </w:r>
      <w:r w:rsidRPr="006B0CFE">
        <w:rPr>
          <w:rFonts w:ascii="Times New Roman" w:hAnsi="Times New Roman"/>
          <w:sz w:val="24"/>
          <w:szCs w:val="24"/>
          <w:lang w:val="en-US"/>
        </w:rPr>
        <w:t>, 2020</w:t>
      </w:r>
      <w:bookmarkEnd w:id="2"/>
    </w:p>
    <w:p w:rsidR="005929A6" w:rsidRPr="006B0C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</w:rPr>
      </w:pPr>
    </w:p>
    <w:p w:rsidR="005929A6" w:rsidRPr="006B0CFE" w:rsidRDefault="005929A6" w:rsidP="005929A6">
      <w:pPr>
        <w:tabs>
          <w:tab w:val="left" w:pos="1985"/>
        </w:tabs>
        <w:jc w:val="both"/>
        <w:rPr>
          <w:rFonts w:eastAsia="SimSun"/>
          <w:b/>
          <w:lang w:eastAsia="zh-CN"/>
        </w:rPr>
      </w:pPr>
      <w:r w:rsidRPr="006B0CFE">
        <w:rPr>
          <w:b/>
        </w:rPr>
        <w:t xml:space="preserve">Source: </w:t>
      </w:r>
      <w:r w:rsidRPr="006B0CFE">
        <w:rPr>
          <w:b/>
        </w:rPr>
        <w:tab/>
      </w:r>
      <w:r w:rsidR="00DB2FCE" w:rsidRPr="006B0CFE">
        <w:t>Skyworks Solutions, Inc.</w:t>
      </w:r>
    </w:p>
    <w:p w:rsidR="005929A6" w:rsidRPr="006B0CFE" w:rsidRDefault="005929A6" w:rsidP="00987DF6">
      <w:pPr>
        <w:ind w:left="1985" w:hanging="1985"/>
        <w:rPr>
          <w:rFonts w:eastAsia="SimSun"/>
          <w:lang w:eastAsia="zh-CN"/>
        </w:rPr>
      </w:pPr>
      <w:r w:rsidRPr="006B0CFE">
        <w:rPr>
          <w:b/>
        </w:rPr>
        <w:t>Title:</w:t>
      </w:r>
      <w:r w:rsidRPr="006B0CFE">
        <w:t xml:space="preserve"> </w:t>
      </w:r>
      <w:r w:rsidRPr="006B0CFE">
        <w:tab/>
      </w:r>
      <w:r w:rsidR="007F1C82" w:rsidRPr="006B0CFE">
        <w:t>[</w:t>
      </w:r>
      <w:r w:rsidR="009D6E84" w:rsidRPr="006B0CFE">
        <w:rPr>
          <w:rFonts w:eastAsia="SimSun"/>
          <w:lang w:eastAsia="zh-CN"/>
        </w:rPr>
        <w:t>NR-U</w:t>
      </w:r>
      <w:r w:rsidR="007F1C82" w:rsidRPr="006B0CFE">
        <w:rPr>
          <w:rFonts w:eastAsia="SimSun"/>
          <w:lang w:eastAsia="zh-CN"/>
        </w:rPr>
        <w:t>]</w:t>
      </w:r>
      <w:r w:rsidR="009D6E84" w:rsidRPr="006B0CFE">
        <w:rPr>
          <w:rFonts w:eastAsia="SimSun"/>
          <w:lang w:eastAsia="zh-CN"/>
        </w:rPr>
        <w:t xml:space="preserve"> PC5 and PC3 Back-Off Measurements</w:t>
      </w:r>
    </w:p>
    <w:p w:rsidR="004124E7" w:rsidRPr="006B0CFE" w:rsidRDefault="005929A6" w:rsidP="004124E7">
      <w:pPr>
        <w:tabs>
          <w:tab w:val="left" w:pos="1985"/>
        </w:tabs>
        <w:jc w:val="both"/>
        <w:rPr>
          <w:rFonts w:eastAsia="SimSun"/>
          <w:lang w:eastAsia="zh-CN"/>
        </w:rPr>
      </w:pPr>
      <w:r w:rsidRPr="006B0CFE">
        <w:rPr>
          <w:b/>
        </w:rPr>
        <w:t>Agen</w:t>
      </w:r>
      <w:r w:rsidR="007B3E89" w:rsidRPr="006B0CFE">
        <w:rPr>
          <w:rFonts w:eastAsia="SimSun"/>
          <w:b/>
          <w:lang w:eastAsia="zh-CN"/>
        </w:rPr>
        <w:t>d</w:t>
      </w:r>
      <w:r w:rsidRPr="006B0CFE">
        <w:rPr>
          <w:b/>
        </w:rPr>
        <w:t>a Item:</w:t>
      </w:r>
      <w:r w:rsidR="00291E51" w:rsidRPr="006B0CFE">
        <w:tab/>
      </w:r>
      <w:r w:rsidR="009D6E84" w:rsidRPr="006B0CFE">
        <w:t>6.1.2.1</w:t>
      </w:r>
      <w:r w:rsidR="009D6E84" w:rsidRPr="006B0CFE">
        <w:tab/>
        <w:t xml:space="preserve">Transmitter characteristics </w:t>
      </w:r>
      <w:r w:rsidR="009D6E84" w:rsidRPr="006B0CFE">
        <w:tab/>
        <w:t>[</w:t>
      </w:r>
      <w:proofErr w:type="spellStart"/>
      <w:r w:rsidR="009D6E84" w:rsidRPr="006B0CFE">
        <w:t>NR_unlic</w:t>
      </w:r>
      <w:proofErr w:type="spellEnd"/>
      <w:r w:rsidR="009D6E84" w:rsidRPr="006B0CFE">
        <w:t>-Core]</w:t>
      </w:r>
    </w:p>
    <w:p w:rsidR="005929A6" w:rsidRPr="006B0CFE" w:rsidRDefault="005929A6" w:rsidP="007F2CE5">
      <w:pPr>
        <w:tabs>
          <w:tab w:val="left" w:pos="1985"/>
        </w:tabs>
        <w:jc w:val="both"/>
        <w:rPr>
          <w:rFonts w:eastAsia="SimSun"/>
          <w:lang w:eastAsia="zh-CN"/>
        </w:rPr>
      </w:pPr>
      <w:r w:rsidRPr="006B0CFE">
        <w:rPr>
          <w:b/>
        </w:rPr>
        <w:t>Document for:</w:t>
      </w:r>
      <w:r w:rsidRPr="006B0CFE">
        <w:tab/>
      </w:r>
      <w:r w:rsidR="007241C8" w:rsidRPr="006B0CFE">
        <w:rPr>
          <w:rFonts w:eastAsia="SimSun"/>
          <w:lang w:eastAsia="zh-CN"/>
        </w:rPr>
        <w:t>Approval</w:t>
      </w:r>
    </w:p>
    <w:bookmarkEnd w:id="0"/>
    <w:bookmarkEnd w:id="1"/>
    <w:p w:rsidR="00FC0076" w:rsidRPr="006B0CFE" w:rsidRDefault="007726F1" w:rsidP="004065E5">
      <w:pPr>
        <w:pStyle w:val="Heading1"/>
        <w:rPr>
          <w:rFonts w:ascii="Times New Roman" w:hAnsi="Times New Roman"/>
        </w:rPr>
      </w:pPr>
      <w:r w:rsidRPr="006B0CFE">
        <w:rPr>
          <w:rFonts w:ascii="Times New Roman" w:hAnsi="Times New Roman"/>
        </w:rPr>
        <w:t>Introduction</w:t>
      </w:r>
    </w:p>
    <w:p w:rsidR="001A570A" w:rsidRPr="006B0CFE" w:rsidRDefault="00153E23" w:rsidP="002B0DC4">
      <w:pPr>
        <w:jc w:val="both"/>
        <w:rPr>
          <w:rFonts w:eastAsia="SimSun"/>
          <w:sz w:val="22"/>
          <w:lang w:eastAsia="zh-CN"/>
        </w:rPr>
      </w:pPr>
      <w:r w:rsidRPr="006B0CFE">
        <w:rPr>
          <w:rFonts w:eastAsia="SimSun"/>
          <w:sz w:val="22"/>
          <w:lang w:eastAsia="zh-CN"/>
        </w:rPr>
        <w:t>At RAN4 #94-e-Bis, agreements were reached on several UE transmitter (TX) requirements to evaluate MPR: NRU spectrum mask evaluation, power class (PC) 3 and PC5 definition, EVM and impairments budget, and 1dB MPR reference waveform [1]. Based on these agreements, t</w:t>
      </w:r>
      <w:r w:rsidR="00290F72" w:rsidRPr="006B0CFE">
        <w:rPr>
          <w:rFonts w:eastAsia="SimSun"/>
          <w:sz w:val="22"/>
          <w:lang w:eastAsia="zh-CN"/>
        </w:rPr>
        <w:t xml:space="preserve">his document </w:t>
      </w:r>
      <w:r w:rsidRPr="006B0CFE">
        <w:rPr>
          <w:rFonts w:eastAsia="SimSun"/>
          <w:sz w:val="22"/>
          <w:lang w:eastAsia="zh-CN"/>
        </w:rPr>
        <w:t>presents back-off measurements both PC3</w:t>
      </w:r>
      <w:r w:rsidR="004811A9">
        <w:rPr>
          <w:rFonts w:eastAsia="SimSun"/>
          <w:sz w:val="22"/>
          <w:lang w:eastAsia="zh-CN"/>
        </w:rPr>
        <w:t xml:space="preserve"> based on two PC5 PAs</w:t>
      </w:r>
      <w:r w:rsidRPr="006B0CFE">
        <w:rPr>
          <w:rFonts w:eastAsia="SimSun"/>
          <w:sz w:val="22"/>
          <w:lang w:eastAsia="zh-CN"/>
        </w:rPr>
        <w:t xml:space="preserve"> and PC5 using a Wi-Fi 5GHz Power Amplifier (PA) and proposes MPR tables</w:t>
      </w:r>
      <w:r w:rsidR="00C47682" w:rsidRPr="006B0CFE">
        <w:rPr>
          <w:rFonts w:eastAsia="SimSun"/>
          <w:sz w:val="22"/>
          <w:lang w:eastAsia="zh-CN"/>
        </w:rPr>
        <w:t>.</w:t>
      </w:r>
    </w:p>
    <w:p w:rsidR="002B0DC4" w:rsidRPr="006B0CFE" w:rsidRDefault="00FE5462" w:rsidP="002B0DC4">
      <w:pPr>
        <w:pStyle w:val="Heading1"/>
        <w:rPr>
          <w:rFonts w:ascii="Times New Roman" w:hAnsi="Times New Roman"/>
        </w:rPr>
      </w:pPr>
      <w:r w:rsidRPr="006B0CFE">
        <w:rPr>
          <w:rFonts w:ascii="Times New Roman" w:hAnsi="Times New Roman"/>
        </w:rPr>
        <w:t>Discussion</w:t>
      </w:r>
    </w:p>
    <w:p w:rsidR="002F1914" w:rsidRPr="006B0CFE" w:rsidRDefault="005576C1" w:rsidP="005576C1">
      <w:pPr>
        <w:pStyle w:val="Heading2"/>
        <w:spacing w:after="240"/>
        <w:rPr>
          <w:rFonts w:ascii="Times New Roman" w:hAnsi="Times New Roman"/>
        </w:rPr>
      </w:pPr>
      <w:r w:rsidRPr="006B0CFE">
        <w:rPr>
          <w:rFonts w:ascii="Times New Roman" w:hAnsi="Times New Roman"/>
        </w:rPr>
        <w:t>Power Amplifier Calibration and Test Waveforms</w:t>
      </w:r>
    </w:p>
    <w:p w:rsidR="005576C1" w:rsidRPr="006B0CFE" w:rsidRDefault="005576C1" w:rsidP="005576C1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sz w:val="22"/>
          <w:szCs w:val="22"/>
        </w:rPr>
      </w:pPr>
      <w:r w:rsidRPr="006B0CFE">
        <w:rPr>
          <w:sz w:val="22"/>
          <w:szCs w:val="22"/>
        </w:rPr>
        <w:t>A 5GHz Wi-Fi PA power amplifier (PA) is calibrated to meet 1 dB MPR for Power Class 5 using the agreed 20MHz 100RB3 QPSK DFT-s-OFDM SCS 15kHz reference waveform [1]. Test conditions are set as follows:</w:t>
      </w:r>
    </w:p>
    <w:p w:rsidR="005F6BF5" w:rsidRPr="006B0CFE" w:rsidRDefault="005576C1" w:rsidP="005576C1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sz w:val="22"/>
          <w:szCs w:val="22"/>
        </w:rPr>
      </w:pPr>
      <w:r w:rsidRPr="006B0CFE">
        <w:rPr>
          <w:sz w:val="22"/>
          <w:szCs w:val="22"/>
        </w:rPr>
        <w:t>-</w:t>
      </w:r>
      <w:r w:rsidRPr="006B0CFE">
        <w:rPr>
          <w:sz w:val="22"/>
          <w:szCs w:val="22"/>
        </w:rPr>
        <w:tab/>
        <w:t xml:space="preserve">Image </w:t>
      </w:r>
      <w:r w:rsidR="00D243F7" w:rsidRPr="006B0CFE">
        <w:rPr>
          <w:sz w:val="22"/>
          <w:szCs w:val="22"/>
        </w:rPr>
        <w:t xml:space="preserve">and Local Oscillator </w:t>
      </w:r>
      <w:r w:rsidRPr="006B0CFE">
        <w:rPr>
          <w:sz w:val="22"/>
          <w:szCs w:val="22"/>
        </w:rPr>
        <w:t xml:space="preserve">rejection is set to -28 </w:t>
      </w:r>
      <w:proofErr w:type="spellStart"/>
      <w:r w:rsidRPr="006B0CFE">
        <w:rPr>
          <w:sz w:val="22"/>
          <w:szCs w:val="22"/>
        </w:rPr>
        <w:t>dBc</w:t>
      </w:r>
      <w:proofErr w:type="spellEnd"/>
      <w:r w:rsidRPr="006B0CFE">
        <w:rPr>
          <w:sz w:val="22"/>
          <w:szCs w:val="22"/>
        </w:rPr>
        <w:t xml:space="preserve">; </w:t>
      </w:r>
    </w:p>
    <w:p w:rsidR="005F6BF5" w:rsidRPr="006B0CFE" w:rsidRDefault="005576C1" w:rsidP="005F6BF5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sz w:val="22"/>
          <w:szCs w:val="22"/>
        </w:rPr>
      </w:pPr>
      <w:r w:rsidRPr="006B0CFE">
        <w:rPr>
          <w:sz w:val="22"/>
          <w:szCs w:val="22"/>
        </w:rPr>
        <w:t>-</w:t>
      </w:r>
      <w:r w:rsidRPr="006B0CFE">
        <w:rPr>
          <w:sz w:val="22"/>
          <w:szCs w:val="22"/>
        </w:rPr>
        <w:tab/>
        <w:t xml:space="preserve">Tested waveforms are summarized in </w:t>
      </w:r>
      <w:r w:rsidR="005F6BF5" w:rsidRPr="006B0CFE">
        <w:rPr>
          <w:sz w:val="22"/>
          <w:szCs w:val="22"/>
        </w:rPr>
        <w:fldChar w:fldCharType="begin"/>
      </w:r>
      <w:r w:rsidR="005F6BF5" w:rsidRPr="006B0CFE">
        <w:rPr>
          <w:sz w:val="22"/>
          <w:szCs w:val="22"/>
        </w:rPr>
        <w:instrText xml:space="preserve"> REF _Ref40436738 \h  \* MERGEFORMAT </w:instrText>
      </w:r>
      <w:r w:rsidR="005F6BF5" w:rsidRPr="006B0CFE">
        <w:rPr>
          <w:sz w:val="22"/>
          <w:szCs w:val="22"/>
        </w:rPr>
      </w:r>
      <w:r w:rsidR="005F6BF5" w:rsidRPr="006B0CFE">
        <w:rPr>
          <w:sz w:val="22"/>
          <w:szCs w:val="22"/>
        </w:rPr>
        <w:fldChar w:fldCharType="separate"/>
      </w:r>
      <w:r w:rsidR="005F6BF5" w:rsidRPr="006B0CFE">
        <w:rPr>
          <w:sz w:val="22"/>
          <w:szCs w:val="22"/>
        </w:rPr>
        <w:t xml:space="preserve">Table </w:t>
      </w:r>
      <w:r w:rsidR="005F6BF5" w:rsidRPr="006B0CFE">
        <w:rPr>
          <w:noProof/>
          <w:sz w:val="22"/>
          <w:szCs w:val="22"/>
        </w:rPr>
        <w:t>1</w:t>
      </w:r>
      <w:r w:rsidR="005F6BF5" w:rsidRPr="006B0CFE">
        <w:rPr>
          <w:sz w:val="22"/>
          <w:szCs w:val="22"/>
        </w:rPr>
        <w:fldChar w:fldCharType="end"/>
      </w:r>
      <w:r w:rsidR="005F6BF5" w:rsidRPr="006B0CFE">
        <w:rPr>
          <w:sz w:val="22"/>
          <w:szCs w:val="22"/>
        </w:rPr>
        <w:t>, where the following naming convention is used:</w:t>
      </w:r>
    </w:p>
    <w:p w:rsidR="005F6BF5" w:rsidRPr="006B0CFE" w:rsidRDefault="005F6BF5" w:rsidP="005F6BF5">
      <w:pPr>
        <w:overflowPunct w:val="0"/>
        <w:autoSpaceDE w:val="0"/>
        <w:autoSpaceDN w:val="0"/>
        <w:adjustRightInd w:val="0"/>
        <w:spacing w:after="180"/>
        <w:ind w:left="284"/>
        <w:contextualSpacing/>
        <w:jc w:val="both"/>
        <w:textAlignment w:val="baseline"/>
        <w:rPr>
          <w:sz w:val="22"/>
          <w:szCs w:val="22"/>
        </w:rPr>
      </w:pPr>
      <w:r w:rsidRPr="006B0CFE">
        <w:rPr>
          <w:sz w:val="22"/>
          <w:szCs w:val="22"/>
        </w:rPr>
        <w:t>- Waveform type: DFT/CP refers to either DFT-s-OFDM / CP-OFDM respectively,</w:t>
      </w:r>
    </w:p>
    <w:p w:rsidR="005F6BF5" w:rsidRPr="006B0CFE" w:rsidRDefault="005F6BF5" w:rsidP="005F6BF5">
      <w:pPr>
        <w:overflowPunct w:val="0"/>
        <w:autoSpaceDE w:val="0"/>
        <w:autoSpaceDN w:val="0"/>
        <w:adjustRightInd w:val="0"/>
        <w:spacing w:after="180"/>
        <w:ind w:left="284"/>
        <w:contextualSpacing/>
        <w:jc w:val="both"/>
        <w:textAlignment w:val="baseline"/>
        <w:rPr>
          <w:sz w:val="22"/>
          <w:szCs w:val="22"/>
        </w:rPr>
      </w:pPr>
      <w:r w:rsidRPr="006B0CFE">
        <w:rPr>
          <w:sz w:val="22"/>
          <w:szCs w:val="22"/>
        </w:rPr>
        <w:t>- Cell Bandwidth (CBW): 20</w:t>
      </w:r>
      <w:r w:rsidR="004811A9">
        <w:rPr>
          <w:sz w:val="22"/>
          <w:szCs w:val="22"/>
        </w:rPr>
        <w:t>M</w:t>
      </w:r>
      <w:r w:rsidRPr="006B0CFE">
        <w:rPr>
          <w:sz w:val="22"/>
          <w:szCs w:val="22"/>
        </w:rPr>
        <w:t>/40</w:t>
      </w:r>
      <w:r w:rsidR="004811A9">
        <w:rPr>
          <w:sz w:val="22"/>
          <w:szCs w:val="22"/>
        </w:rPr>
        <w:t>M</w:t>
      </w:r>
      <w:r w:rsidRPr="006B0CFE">
        <w:rPr>
          <w:sz w:val="22"/>
          <w:szCs w:val="22"/>
        </w:rPr>
        <w:t>/6</w:t>
      </w:r>
      <w:r w:rsidR="004811A9">
        <w:rPr>
          <w:sz w:val="22"/>
          <w:szCs w:val="22"/>
        </w:rPr>
        <w:t>M</w:t>
      </w:r>
      <w:r w:rsidRPr="006B0CFE">
        <w:rPr>
          <w:sz w:val="22"/>
          <w:szCs w:val="22"/>
        </w:rPr>
        <w:t>0/80</w:t>
      </w:r>
      <w:r w:rsidR="004811A9">
        <w:rPr>
          <w:sz w:val="22"/>
          <w:szCs w:val="22"/>
        </w:rPr>
        <w:t>M</w:t>
      </w:r>
      <w:r w:rsidRPr="006B0CFE">
        <w:rPr>
          <w:sz w:val="22"/>
          <w:szCs w:val="22"/>
        </w:rPr>
        <w:t xml:space="preserve"> refers to 20/40/60/80 MHz CBW respectively,</w:t>
      </w:r>
    </w:p>
    <w:p w:rsidR="00A67969" w:rsidRPr="006B0CFE" w:rsidRDefault="00A67969" w:rsidP="005F6BF5">
      <w:pPr>
        <w:overflowPunct w:val="0"/>
        <w:autoSpaceDE w:val="0"/>
        <w:autoSpaceDN w:val="0"/>
        <w:adjustRightInd w:val="0"/>
        <w:spacing w:after="180"/>
        <w:ind w:left="284"/>
        <w:contextualSpacing/>
        <w:jc w:val="both"/>
        <w:textAlignment w:val="baseline"/>
        <w:rPr>
          <w:sz w:val="22"/>
          <w:szCs w:val="22"/>
        </w:rPr>
      </w:pPr>
      <w:r w:rsidRPr="006B0CFE">
        <w:rPr>
          <w:sz w:val="22"/>
          <w:szCs w:val="22"/>
        </w:rPr>
        <w:t xml:space="preserve">- Numerology / Sub-Carrier Spacing (SCS): </w:t>
      </w:r>
      <w:r w:rsidR="004811A9">
        <w:rPr>
          <w:sz w:val="22"/>
          <w:szCs w:val="22"/>
        </w:rPr>
        <w:t>the number after the dell bandwidth refers to numerology order</w:t>
      </w:r>
      <w:r w:rsidRPr="006B0CFE">
        <w:rPr>
          <w:sz w:val="22"/>
          <w:szCs w:val="22"/>
        </w:rPr>
        <w:t xml:space="preserve"> 0/1, i.e. to SCS 15/30kHz respectively,</w:t>
      </w:r>
    </w:p>
    <w:p w:rsidR="004811A9" w:rsidRDefault="00A67969" w:rsidP="005F6BF5">
      <w:pPr>
        <w:overflowPunct w:val="0"/>
        <w:autoSpaceDE w:val="0"/>
        <w:autoSpaceDN w:val="0"/>
        <w:adjustRightInd w:val="0"/>
        <w:spacing w:after="180"/>
        <w:ind w:left="284"/>
        <w:contextualSpacing/>
        <w:jc w:val="both"/>
        <w:textAlignment w:val="baseline"/>
        <w:rPr>
          <w:sz w:val="22"/>
          <w:szCs w:val="22"/>
        </w:rPr>
      </w:pPr>
      <w:r w:rsidRPr="006B0CFE">
        <w:rPr>
          <w:sz w:val="22"/>
          <w:szCs w:val="22"/>
        </w:rPr>
        <w:t>- Resource Block (RB) allocation</w:t>
      </w:r>
      <w:r w:rsidR="004811A9">
        <w:rPr>
          <w:sz w:val="22"/>
          <w:szCs w:val="22"/>
        </w:rPr>
        <w:t xml:space="preserve"> for fully allocated waveform</w:t>
      </w:r>
      <w:r w:rsidR="00343231">
        <w:rPr>
          <w:sz w:val="22"/>
          <w:szCs w:val="22"/>
        </w:rPr>
        <w:t>s</w:t>
      </w:r>
      <w:r w:rsidRPr="006B0CFE">
        <w:rPr>
          <w:sz w:val="22"/>
          <w:szCs w:val="22"/>
        </w:rPr>
        <w:t xml:space="preserve">: </w:t>
      </w:r>
      <w:proofErr w:type="spellStart"/>
      <w:r w:rsidRPr="006B0CFE">
        <w:rPr>
          <w:sz w:val="22"/>
          <w:szCs w:val="22"/>
        </w:rPr>
        <w:t>xxRByy</w:t>
      </w:r>
      <w:proofErr w:type="spellEnd"/>
      <w:r w:rsidRPr="006B0CFE">
        <w:rPr>
          <w:sz w:val="22"/>
          <w:szCs w:val="22"/>
        </w:rPr>
        <w:t xml:space="preserve"> refers to an RB allocation of length L</w:t>
      </w:r>
      <w:r w:rsidRPr="006B0CFE">
        <w:rPr>
          <w:sz w:val="22"/>
          <w:szCs w:val="22"/>
          <w:vertAlign w:val="subscript"/>
        </w:rPr>
        <w:t>CRB</w:t>
      </w:r>
      <w:proofErr w:type="gramStart"/>
      <w:r w:rsidRPr="006B0CFE">
        <w:rPr>
          <w:sz w:val="22"/>
          <w:szCs w:val="22"/>
        </w:rPr>
        <w:t>=”xx</w:t>
      </w:r>
      <w:proofErr w:type="gramEnd"/>
      <w:r w:rsidRPr="006B0CFE">
        <w:rPr>
          <w:sz w:val="22"/>
          <w:szCs w:val="22"/>
        </w:rPr>
        <w:t>” at offset start position “</w:t>
      </w:r>
      <w:proofErr w:type="spellStart"/>
      <w:r w:rsidRPr="006B0CFE">
        <w:rPr>
          <w:sz w:val="22"/>
          <w:szCs w:val="22"/>
        </w:rPr>
        <w:t>yy</w:t>
      </w:r>
      <w:proofErr w:type="spellEnd"/>
      <w:r w:rsidRPr="006B0CFE">
        <w:rPr>
          <w:sz w:val="22"/>
          <w:szCs w:val="22"/>
        </w:rPr>
        <w:t>”.</w:t>
      </w:r>
      <w:r w:rsidR="004811A9">
        <w:rPr>
          <w:sz w:val="22"/>
          <w:szCs w:val="22"/>
        </w:rPr>
        <w:t xml:space="preserve"> </w:t>
      </w:r>
    </w:p>
    <w:p w:rsidR="005F6BF5" w:rsidRPr="006B0CFE" w:rsidRDefault="004811A9" w:rsidP="005F6BF5">
      <w:pPr>
        <w:overflowPunct w:val="0"/>
        <w:autoSpaceDE w:val="0"/>
        <w:autoSpaceDN w:val="0"/>
        <w:adjustRightInd w:val="0"/>
        <w:spacing w:after="180"/>
        <w:ind w:left="284"/>
        <w:contextualSpacing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B0CFE">
        <w:rPr>
          <w:sz w:val="22"/>
          <w:szCs w:val="22"/>
        </w:rPr>
        <w:t>Resource Block (RB) allocation</w:t>
      </w:r>
      <w:r>
        <w:rPr>
          <w:sz w:val="22"/>
          <w:szCs w:val="22"/>
        </w:rPr>
        <w:t xml:space="preserve"> for interlace</w:t>
      </w:r>
      <w:r w:rsidR="00343231">
        <w:rPr>
          <w:sz w:val="22"/>
          <w:szCs w:val="22"/>
        </w:rPr>
        <w:t>d</w:t>
      </w:r>
      <w:r>
        <w:rPr>
          <w:sz w:val="22"/>
          <w:szCs w:val="22"/>
        </w:rPr>
        <w:t xml:space="preserve"> waveform</w:t>
      </w:r>
      <w:r w:rsidR="00343231">
        <w:rPr>
          <w:sz w:val="22"/>
          <w:szCs w:val="22"/>
        </w:rPr>
        <w:t>s</w:t>
      </w:r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XXxYRBZ</w:t>
      </w:r>
      <w:proofErr w:type="spellEnd"/>
      <w:r>
        <w:rPr>
          <w:sz w:val="22"/>
          <w:szCs w:val="22"/>
        </w:rPr>
        <w:t xml:space="preserve"> where XX is the number of repletion of the interlace, Y the number of allocated RB per interlace, Z the position of the first allocated RB within the interlace.</w:t>
      </w:r>
    </w:p>
    <w:p w:rsidR="000013CB" w:rsidRDefault="000013CB">
      <w:pPr>
        <w:rPr>
          <w:b/>
          <w:sz w:val="20"/>
          <w:szCs w:val="20"/>
          <w:lang w:val="en-GB"/>
        </w:rPr>
      </w:pPr>
      <w:bookmarkStart w:id="3" w:name="_Ref40436738"/>
      <w:r>
        <w:br w:type="page"/>
      </w:r>
    </w:p>
    <w:p w:rsidR="003D1D89" w:rsidRPr="006B0CFE" w:rsidRDefault="005F6BF5" w:rsidP="005F6BF5">
      <w:pPr>
        <w:pStyle w:val="Caption"/>
        <w:rPr>
          <w:sz w:val="22"/>
        </w:rPr>
      </w:pPr>
      <w:r w:rsidRPr="006B0CFE">
        <w:lastRenderedPageBreak/>
        <w:t xml:space="preserve">Table </w:t>
      </w:r>
      <w:r w:rsidRPr="006B0CFE">
        <w:fldChar w:fldCharType="begin"/>
      </w:r>
      <w:r w:rsidRPr="006B0CFE">
        <w:instrText xml:space="preserve"> SEQ Table \* ARABIC </w:instrText>
      </w:r>
      <w:r w:rsidRPr="006B0CFE">
        <w:fldChar w:fldCharType="separate"/>
      </w:r>
      <w:r w:rsidRPr="006B0CFE">
        <w:rPr>
          <w:noProof/>
        </w:rPr>
        <w:t>1</w:t>
      </w:r>
      <w:r w:rsidRPr="006B0CFE">
        <w:fldChar w:fldCharType="end"/>
      </w:r>
      <w:bookmarkEnd w:id="3"/>
      <w:r w:rsidRPr="006B0CFE">
        <w:t>: List of measured NR-U waveforms</w:t>
      </w:r>
      <w:r w:rsidR="001D4065" w:rsidRPr="006B0CFE">
        <w:rPr>
          <w:sz w:val="22"/>
        </w:rPr>
        <w:t xml:space="preserve"> </w:t>
      </w:r>
    </w:p>
    <w:tbl>
      <w:tblPr>
        <w:tblW w:w="9055" w:type="dxa"/>
        <w:jc w:val="center"/>
        <w:tblLook w:val="04A0" w:firstRow="1" w:lastRow="0" w:firstColumn="1" w:lastColumn="0" w:noHBand="0" w:noVBand="1"/>
      </w:tblPr>
      <w:tblGrid>
        <w:gridCol w:w="506"/>
        <w:gridCol w:w="2139"/>
        <w:gridCol w:w="5727"/>
        <w:gridCol w:w="683"/>
      </w:tblGrid>
      <w:tr w:rsidR="005F6BF5" w:rsidRPr="006B0CFE" w:rsidTr="00343231">
        <w:trPr>
          <w:trHeight w:val="300"/>
          <w:jc w:val="center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F5" w:rsidRPr="00343231" w:rsidRDefault="005F6BF5">
            <w:pPr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 </w:t>
            </w:r>
          </w:p>
        </w:tc>
        <w:tc>
          <w:tcPr>
            <w:tcW w:w="21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  <w:szCs w:val="22"/>
              </w:rPr>
            </w:pPr>
            <w:r w:rsidRPr="00343231">
              <w:rPr>
                <w:b/>
                <w:bCs/>
                <w:color w:val="000000"/>
                <w:sz w:val="20"/>
                <w:szCs w:val="22"/>
              </w:rPr>
              <w:t>Waveform Name</w:t>
            </w:r>
          </w:p>
        </w:tc>
        <w:tc>
          <w:tcPr>
            <w:tcW w:w="5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BF5" w:rsidRPr="00343231" w:rsidRDefault="005F6BF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343231">
              <w:rPr>
                <w:b/>
                <w:bCs/>
                <w:color w:val="000000"/>
                <w:sz w:val="20"/>
                <w:szCs w:val="22"/>
              </w:rPr>
              <w:t>Waveform Type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BF5" w:rsidRPr="00343231" w:rsidRDefault="005F6BF5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343231">
              <w:rPr>
                <w:b/>
                <w:bCs/>
                <w:color w:val="000000"/>
                <w:sz w:val="20"/>
                <w:szCs w:val="22"/>
              </w:rPr>
              <w:t>SCS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43231">
              <w:rPr>
                <w:b/>
                <w:bCs/>
                <w:color w:val="000000"/>
                <w:sz w:val="20"/>
              </w:rPr>
              <w:t>Full Allocations Single CC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</w:t>
            </w:r>
            <w:r w:rsidR="00B411B5" w:rsidRPr="00343231">
              <w:rPr>
                <w:color w:val="000000"/>
                <w:sz w:val="20"/>
                <w:szCs w:val="22"/>
              </w:rPr>
              <w:t>_</w:t>
            </w:r>
            <w:r w:rsidRPr="00343231">
              <w:rPr>
                <w:color w:val="000000"/>
                <w:sz w:val="20"/>
                <w:szCs w:val="22"/>
              </w:rPr>
              <w:t>20M0_100RB3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 100RB3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DFT_20M0_100RB0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 100RB0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DFT_20M1_50RB0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 50RB0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DFT_40M0_216RB0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40MHz QPSK 216RB0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DFT_80M1_216RB0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80MHz QPSK 216RB0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CP_20M0_106RB0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 106RB0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CP_20M1_51RB0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 51RB0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CP_40M0_216RB0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40MHz QPSK 216RB0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30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CP_80M1_217RB0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40MHz QPSK 217RB0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F6BF5" w:rsidRPr="00343231" w:rsidRDefault="005F6BF5" w:rsidP="0034323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43231">
              <w:rPr>
                <w:b/>
                <w:bCs/>
                <w:color w:val="000000"/>
                <w:sz w:val="20"/>
              </w:rPr>
              <w:t>Interlaced Allocations Single CC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DFT_20M0_10x1RB0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1RB0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DFT_20M0_10x1RB1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1RB1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DFT_20M0_10x1RB3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1RB3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DFT_20M0_10x1RB4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1RB4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DFT_20M0_10x1RB6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1RB6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DFT_20M0_10x1RB9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1RB9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DFT_20M1_10x1RB0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1RB0 every 5RBs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DFT_20M1_10x1RB4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10 x 1RB4 every 5RBs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DFT_40M0_20x1RB0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20 x 1RB0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DFT_80M1_40x1RB0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DFT-s-OFDM 20MHz QPSK: 40 x 1RB0 every 5RBs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CP_20M0_10x1RB0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QPSK: 10 x 1RB0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CP_20M0_10x1RB5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QPSK: 10 x 1RB5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CP_20M0_11x1RB0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QPSK: 11 x 1RB0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CP_20M0_11x1RB5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QPSK: 11 x 1RB5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CP_40M0_22x1RB0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QPSK: 22 x 1RB0 every 10RBs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15</w:t>
            </w:r>
          </w:p>
        </w:tc>
      </w:tr>
      <w:tr w:rsidR="005F6BF5" w:rsidRPr="006B0CFE" w:rsidTr="00343231">
        <w:trPr>
          <w:trHeight w:val="30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CP_80M1_44x1RB0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CP-OFDM 20MHz QPSK: 44 x 1RB0 every 5RBs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F6BF5" w:rsidRPr="00343231" w:rsidRDefault="005F6BF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43231">
              <w:rPr>
                <w:b/>
                <w:bCs/>
                <w:color w:val="000000"/>
                <w:sz w:val="20"/>
              </w:rPr>
              <w:t>Wideband Operation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DFT_WB80M1_1000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1x DFT-s-OFDM QPSK sub-band centered -30MHz offset from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DFT_WB80M1_0100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1x DFT-s-OFDM QPSK sub-band centered -10MHz offset from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DFT_WB80M1_1111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4x DFT-s-OFDM QPSK sub-bands centered on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CP_WB80M1_1000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1x CP-OFDM QPSK sub-band centered -30MHz offset from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CP_WB80M1_0100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1x CP-OFDM QPSK sub-band centered -10MHz offset from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CP_WB80M1_1100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2x CP-OFDM QPSK sub-bands centered -20MHz offset from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288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CP_WB80M1_1110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3x CP-OFDM QPSK sub-bands centered -10MHz offset from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  <w:tr w:rsidR="005F6BF5" w:rsidRPr="006B0CFE" w:rsidTr="00343231">
        <w:trPr>
          <w:trHeight w:val="50"/>
          <w:jc w:val="center"/>
        </w:trPr>
        <w:tc>
          <w:tcPr>
            <w:tcW w:w="5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F6BF5" w:rsidRPr="00343231" w:rsidRDefault="005F6BF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CP_WB80M1_1111</w:t>
            </w:r>
          </w:p>
        </w:tc>
        <w:tc>
          <w:tcPr>
            <w:tcW w:w="5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4x CP-OFDM QPSK sub-bands centered on Fc</w:t>
            </w:r>
          </w:p>
        </w:tc>
        <w:tc>
          <w:tcPr>
            <w:tcW w:w="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6BF5" w:rsidRPr="00343231" w:rsidRDefault="005F6BF5" w:rsidP="00B411B5">
            <w:pPr>
              <w:jc w:val="center"/>
              <w:rPr>
                <w:color w:val="000000"/>
                <w:sz w:val="20"/>
                <w:szCs w:val="22"/>
              </w:rPr>
            </w:pPr>
            <w:r w:rsidRPr="00343231">
              <w:rPr>
                <w:color w:val="000000"/>
                <w:sz w:val="20"/>
                <w:szCs w:val="22"/>
              </w:rPr>
              <w:t>30</w:t>
            </w:r>
          </w:p>
        </w:tc>
      </w:tr>
    </w:tbl>
    <w:p w:rsidR="00F46470" w:rsidRPr="006B0CFE" w:rsidRDefault="00F46470" w:rsidP="002F1914">
      <w:pPr>
        <w:pStyle w:val="ListParagraph"/>
        <w:ind w:left="1440" w:firstLine="440"/>
        <w:jc w:val="both"/>
        <w:rPr>
          <w:rFonts w:ascii="Times New Roman" w:hAnsi="Times New Roman" w:cs="Times New Roman"/>
          <w:sz w:val="22"/>
          <w:szCs w:val="20"/>
        </w:rPr>
      </w:pPr>
    </w:p>
    <w:p w:rsidR="00F46470" w:rsidRPr="006B0CFE" w:rsidRDefault="001F170F" w:rsidP="00F46470">
      <w:pPr>
        <w:pStyle w:val="Heading2"/>
        <w:spacing w:after="240"/>
        <w:jc w:val="both"/>
        <w:rPr>
          <w:rFonts w:ascii="Times New Roman" w:hAnsi="Times New Roman"/>
        </w:rPr>
      </w:pPr>
      <w:r w:rsidRPr="006B0CFE">
        <w:rPr>
          <w:rFonts w:ascii="Times New Roman" w:hAnsi="Times New Roman"/>
        </w:rPr>
        <w:t>Measurement Gating Factors</w:t>
      </w:r>
    </w:p>
    <w:p w:rsidR="000B655A" w:rsidRPr="006B0CFE" w:rsidRDefault="001F170F" w:rsidP="000B655A">
      <w:pPr>
        <w:contextualSpacing/>
        <w:jc w:val="both"/>
        <w:rPr>
          <w:sz w:val="22"/>
        </w:rPr>
      </w:pPr>
      <w:r w:rsidRPr="006B0CFE">
        <w:rPr>
          <w:sz w:val="22"/>
        </w:rPr>
        <w:t>All measurements are gated according to agreements reached in [1]</w:t>
      </w:r>
      <w:r w:rsidR="000323EF" w:rsidRPr="006B0CFE">
        <w:rPr>
          <w:sz w:val="22"/>
        </w:rPr>
        <w:t>, i.e.:</w:t>
      </w:r>
    </w:p>
    <w:p w:rsidR="000323EF" w:rsidRPr="006B0CFE" w:rsidRDefault="000323EF" w:rsidP="00AA0FA3">
      <w:pPr>
        <w:pStyle w:val="ListParagraph"/>
        <w:numPr>
          <w:ilvl w:val="0"/>
          <w:numId w:val="31"/>
        </w:numPr>
        <w:ind w:left="426" w:firstLineChars="0"/>
        <w:contextualSpacing/>
        <w:jc w:val="both"/>
        <w:rPr>
          <w:rFonts w:ascii="Times New Roman" w:hAnsi="Times New Roman" w:cs="Times New Roman"/>
          <w:sz w:val="22"/>
        </w:rPr>
      </w:pPr>
      <w:r w:rsidRPr="006B0CFE">
        <w:rPr>
          <w:rFonts w:ascii="Times New Roman" w:hAnsi="Times New Roman" w:cs="Times New Roman"/>
          <w:sz w:val="22"/>
        </w:rPr>
        <w:t>Maximum QPSK EVM budget at PA output with IQ impairments: 10.8% rms EVM</w:t>
      </w:r>
      <w:r w:rsidR="006B0CFE" w:rsidRPr="006B0CFE">
        <w:rPr>
          <w:rFonts w:ascii="Times New Roman" w:hAnsi="Times New Roman" w:cs="Times New Roman"/>
          <w:sz w:val="22"/>
        </w:rPr>
        <w:t>. EVM is measured on fully allocated waveforms,</w:t>
      </w:r>
    </w:p>
    <w:p w:rsidR="000323EF" w:rsidRPr="006B0CFE" w:rsidRDefault="000323EF" w:rsidP="00AA0FA3">
      <w:pPr>
        <w:pStyle w:val="ListParagraph"/>
        <w:numPr>
          <w:ilvl w:val="0"/>
          <w:numId w:val="31"/>
        </w:numPr>
        <w:ind w:left="426" w:firstLineChars="0"/>
        <w:contextualSpacing/>
        <w:jc w:val="both"/>
        <w:rPr>
          <w:rFonts w:ascii="Times New Roman" w:hAnsi="Times New Roman" w:cs="Times New Roman"/>
          <w:sz w:val="22"/>
        </w:rPr>
      </w:pPr>
      <w:r w:rsidRPr="006B0CFE">
        <w:rPr>
          <w:rFonts w:ascii="Times New Roman" w:hAnsi="Times New Roman" w:cs="Times New Roman"/>
          <w:sz w:val="22"/>
        </w:rPr>
        <w:t xml:space="preserve">PC5 ACLR: -27 </w:t>
      </w:r>
      <w:proofErr w:type="spellStart"/>
      <w:r w:rsidRPr="006B0CFE">
        <w:rPr>
          <w:rFonts w:ascii="Times New Roman" w:hAnsi="Times New Roman" w:cs="Times New Roman"/>
          <w:sz w:val="22"/>
        </w:rPr>
        <w:t>dBc</w:t>
      </w:r>
      <w:proofErr w:type="spellEnd"/>
      <w:r w:rsidRPr="006B0CFE">
        <w:rPr>
          <w:rFonts w:ascii="Times New Roman" w:hAnsi="Times New Roman" w:cs="Times New Roman"/>
          <w:sz w:val="22"/>
        </w:rPr>
        <w:t>,</w:t>
      </w:r>
    </w:p>
    <w:p w:rsidR="006B0CFE" w:rsidRPr="006B0CFE" w:rsidRDefault="000323EF" w:rsidP="006B0CFE">
      <w:pPr>
        <w:pStyle w:val="ListParagraph"/>
        <w:numPr>
          <w:ilvl w:val="0"/>
          <w:numId w:val="31"/>
        </w:numPr>
        <w:ind w:left="426" w:firstLineChars="0"/>
        <w:contextualSpacing/>
        <w:jc w:val="both"/>
        <w:rPr>
          <w:rFonts w:ascii="Times New Roman" w:hAnsi="Times New Roman" w:cs="Times New Roman"/>
          <w:sz w:val="22"/>
        </w:rPr>
      </w:pPr>
      <w:r w:rsidRPr="006B0CFE">
        <w:rPr>
          <w:rFonts w:ascii="Times New Roman" w:hAnsi="Times New Roman" w:cs="Times New Roman"/>
          <w:sz w:val="22"/>
        </w:rPr>
        <w:t xml:space="preserve">PC3 ACLR: -30 </w:t>
      </w:r>
      <w:proofErr w:type="spellStart"/>
      <w:r w:rsidRPr="006B0CFE">
        <w:rPr>
          <w:rFonts w:ascii="Times New Roman" w:hAnsi="Times New Roman" w:cs="Times New Roman"/>
          <w:sz w:val="22"/>
        </w:rPr>
        <w:t>dBc</w:t>
      </w:r>
      <w:proofErr w:type="spellEnd"/>
      <w:r w:rsidRPr="006B0CFE">
        <w:rPr>
          <w:rFonts w:ascii="Times New Roman" w:hAnsi="Times New Roman" w:cs="Times New Roman"/>
          <w:sz w:val="22"/>
        </w:rPr>
        <w:t>, with PC 3 defined as two PC5 paths</w:t>
      </w:r>
      <w:r w:rsidR="006B0CFE" w:rsidRPr="006B0CFE">
        <w:rPr>
          <w:rFonts w:ascii="Times New Roman" w:hAnsi="Times New Roman" w:cs="Times New Roman"/>
          <w:sz w:val="22"/>
        </w:rPr>
        <w:t>,</w:t>
      </w:r>
    </w:p>
    <w:p w:rsidR="000323EF" w:rsidRPr="006B0CFE" w:rsidRDefault="000323EF" w:rsidP="00AA0FA3">
      <w:pPr>
        <w:pStyle w:val="ListParagraph"/>
        <w:numPr>
          <w:ilvl w:val="0"/>
          <w:numId w:val="31"/>
        </w:numPr>
        <w:ind w:left="426" w:firstLineChars="0"/>
        <w:contextualSpacing/>
        <w:jc w:val="both"/>
        <w:rPr>
          <w:rFonts w:ascii="Times New Roman" w:hAnsi="Times New Roman" w:cs="Times New Roman"/>
          <w:sz w:val="22"/>
        </w:rPr>
      </w:pPr>
      <w:r w:rsidRPr="006B0CFE">
        <w:rPr>
          <w:rFonts w:ascii="Times New Roman" w:hAnsi="Times New Roman" w:cs="Times New Roman"/>
          <w:sz w:val="22"/>
        </w:rPr>
        <w:t>Spectrum Emission Mask</w:t>
      </w:r>
      <w:r w:rsidR="00AA0FA3" w:rsidRPr="006B0CFE">
        <w:rPr>
          <w:rFonts w:ascii="Times New Roman" w:hAnsi="Times New Roman" w:cs="Times New Roman"/>
          <w:sz w:val="22"/>
        </w:rPr>
        <w:t xml:space="preserve"> (SEM)</w:t>
      </w:r>
      <w:r w:rsidRPr="006B0CFE">
        <w:rPr>
          <w:rFonts w:ascii="Times New Roman" w:hAnsi="Times New Roman" w:cs="Times New Roman"/>
          <w:sz w:val="22"/>
        </w:rPr>
        <w:t>: Mask limits are set according to [4] for both single CC and wideband operation,</w:t>
      </w:r>
    </w:p>
    <w:p w:rsidR="000323EF" w:rsidRPr="006B0CFE" w:rsidRDefault="00AA0FA3" w:rsidP="00AA0FA3">
      <w:pPr>
        <w:pStyle w:val="ListParagraph"/>
        <w:ind w:left="426" w:firstLineChars="0" w:firstLine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B0CFE">
        <w:rPr>
          <w:rFonts w:ascii="Times New Roman" w:hAnsi="Times New Roman" w:cs="Times New Roman"/>
          <w:sz w:val="22"/>
        </w:rPr>
        <w:lastRenderedPageBreak/>
        <w:t>Measurement procedure: we modified the built-</w:t>
      </w:r>
      <w:proofErr w:type="gramStart"/>
      <w:r w:rsidRPr="006B0CFE">
        <w:rPr>
          <w:rFonts w:ascii="Times New Roman" w:hAnsi="Times New Roman" w:cs="Times New Roman"/>
          <w:sz w:val="22"/>
        </w:rPr>
        <w:t>in  802</w:t>
      </w:r>
      <w:proofErr w:type="gramEnd"/>
      <w:r w:rsidRPr="006B0CFE">
        <w:rPr>
          <w:rFonts w:ascii="Times New Roman" w:hAnsi="Times New Roman" w:cs="Times New Roman"/>
          <w:sz w:val="22"/>
        </w:rPr>
        <w:t>.11ac/ax of the test equipment so that the limits meet the NR-U SEM limits in [4]. In that respect, the Peak Reference power level is measured according to 802.11ac/ax as:</w:t>
      </w:r>
    </w:p>
    <w:p w:rsidR="00AA0FA3" w:rsidRPr="006B0CFE" w:rsidRDefault="00AA0FA3" w:rsidP="00AA0FA3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left="709"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6B0CFE">
        <w:rPr>
          <w:rFonts w:ascii="Times New Roman" w:hAnsi="Times New Roman" w:cs="Times New Roman"/>
          <w:sz w:val="20"/>
          <w:szCs w:val="20"/>
        </w:rPr>
        <w:t>A 100 kHz resolution bandwidth is used (note that 30kHz was used for 11ac) with a video bandwidth of 7.5 kHz</w:t>
      </w:r>
      <w:r w:rsidR="00960C15">
        <w:rPr>
          <w:rFonts w:ascii="Times New Roman" w:hAnsi="Times New Roman" w:cs="Times New Roman"/>
          <w:sz w:val="20"/>
          <w:szCs w:val="20"/>
        </w:rPr>
        <w:t>;</w:t>
      </w:r>
    </w:p>
    <w:p w:rsidR="00AA0FA3" w:rsidRPr="006B0CFE" w:rsidRDefault="00AA0FA3" w:rsidP="00AA0FA3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ind w:left="709" w:firstLine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6B0CFE">
        <w:rPr>
          <w:rFonts w:ascii="Times New Roman" w:hAnsi="Times New Roman" w:cs="Times New Roman"/>
          <w:sz w:val="20"/>
          <w:szCs w:val="20"/>
        </w:rPr>
        <w:t xml:space="preserve">The mask is applied as is (no offsets applied) and being in </w:t>
      </w:r>
      <w:proofErr w:type="spellStart"/>
      <w:r w:rsidRPr="006B0CFE">
        <w:rPr>
          <w:rFonts w:ascii="Times New Roman" w:hAnsi="Times New Roman" w:cs="Times New Roman"/>
          <w:sz w:val="20"/>
          <w:szCs w:val="20"/>
        </w:rPr>
        <w:t>dBr</w:t>
      </w:r>
      <w:proofErr w:type="spellEnd"/>
      <w:r w:rsidRPr="006B0CFE">
        <w:rPr>
          <w:rFonts w:ascii="Times New Roman" w:hAnsi="Times New Roman" w:cs="Times New Roman"/>
          <w:sz w:val="20"/>
          <w:szCs w:val="20"/>
        </w:rPr>
        <w:t xml:space="preserve">, is referred to the </w:t>
      </w:r>
      <w:proofErr w:type="gramStart"/>
      <w:r w:rsidRPr="006B0CFE">
        <w:rPr>
          <w:rFonts w:ascii="Times New Roman" w:hAnsi="Times New Roman" w:cs="Times New Roman"/>
          <w:sz w:val="20"/>
          <w:szCs w:val="20"/>
        </w:rPr>
        <w:t>in band</w:t>
      </w:r>
      <w:proofErr w:type="gramEnd"/>
      <w:r w:rsidRPr="006B0CFE">
        <w:rPr>
          <w:rFonts w:ascii="Times New Roman" w:hAnsi="Times New Roman" w:cs="Times New Roman"/>
          <w:sz w:val="20"/>
          <w:szCs w:val="20"/>
        </w:rPr>
        <w:t xml:space="preserve"> peak measured in 1 MHz</w:t>
      </w:r>
      <w:r w:rsidR="00960C15">
        <w:rPr>
          <w:rFonts w:ascii="Times New Roman" w:hAnsi="Times New Roman" w:cs="Times New Roman"/>
          <w:sz w:val="20"/>
          <w:szCs w:val="20"/>
        </w:rPr>
        <w:t>; and</w:t>
      </w:r>
    </w:p>
    <w:p w:rsidR="00AA0FA3" w:rsidRPr="006B0CFE" w:rsidRDefault="00AA0FA3" w:rsidP="00AA0FA3">
      <w:pPr>
        <w:pStyle w:val="ListParagraph"/>
        <w:numPr>
          <w:ilvl w:val="1"/>
          <w:numId w:val="34"/>
        </w:numPr>
        <w:ind w:left="709" w:firstLineChars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B0CFE">
        <w:rPr>
          <w:rFonts w:ascii="Times New Roman" w:hAnsi="Times New Roman" w:cs="Times New Roman"/>
          <w:sz w:val="20"/>
          <w:szCs w:val="20"/>
        </w:rPr>
        <w:t>100x Sweep average is used per mask segment</w:t>
      </w:r>
      <w:r w:rsidR="00960C15">
        <w:rPr>
          <w:rFonts w:ascii="Times New Roman" w:hAnsi="Times New Roman" w:cs="Times New Roman"/>
          <w:sz w:val="20"/>
          <w:szCs w:val="20"/>
        </w:rPr>
        <w:t>.</w:t>
      </w:r>
    </w:p>
    <w:p w:rsidR="00DE2C0B" w:rsidRPr="006B0CFE" w:rsidRDefault="00DE2C0B" w:rsidP="000B655A">
      <w:pPr>
        <w:contextualSpacing/>
        <w:jc w:val="both"/>
        <w:rPr>
          <w:sz w:val="22"/>
        </w:rPr>
      </w:pPr>
    </w:p>
    <w:p w:rsidR="007C2877" w:rsidRPr="006B0CFE" w:rsidRDefault="00880EA1" w:rsidP="000B655A">
      <w:pPr>
        <w:contextualSpacing/>
        <w:jc w:val="both"/>
        <w:rPr>
          <w:sz w:val="22"/>
        </w:rPr>
      </w:pPr>
      <w:r w:rsidRPr="006B0CFE">
        <w:rPr>
          <w:sz w:val="22"/>
        </w:rPr>
        <w:t>Considering the Peak Reference power level integrates any spectrum peak/spur within the pass-band bandwidth, we have disabled Local Oscillator</w:t>
      </w:r>
      <w:r w:rsidR="007C2877" w:rsidRPr="006B0CFE">
        <w:rPr>
          <w:sz w:val="22"/>
        </w:rPr>
        <w:t xml:space="preserve"> (LO)</w:t>
      </w:r>
      <w:r w:rsidRPr="006B0CFE">
        <w:rPr>
          <w:sz w:val="22"/>
        </w:rPr>
        <w:t xml:space="preserve"> leakage for all SEM measurements to avoid erroneous NR-U SEM scaling and therefore erroneous back-off gating levels.</w:t>
      </w:r>
      <w:r w:rsidR="007C2877" w:rsidRPr="006B0CFE">
        <w:rPr>
          <w:sz w:val="22"/>
        </w:rPr>
        <w:t xml:space="preserve"> An example of LO leakage impact on offsetting </w:t>
      </w:r>
      <w:r w:rsidR="007C2877" w:rsidRPr="006B0CFE">
        <w:rPr>
          <w:sz w:val="22"/>
          <w:szCs w:val="22"/>
        </w:rPr>
        <w:t xml:space="preserve">the NR-U 0dBr peak reference power level is shown in </w:t>
      </w:r>
      <w:r w:rsidR="007C2877" w:rsidRPr="006B0CFE">
        <w:rPr>
          <w:sz w:val="22"/>
          <w:szCs w:val="22"/>
        </w:rPr>
        <w:fldChar w:fldCharType="begin"/>
      </w:r>
      <w:r w:rsidR="007C2877" w:rsidRPr="006B0CFE">
        <w:rPr>
          <w:sz w:val="22"/>
          <w:szCs w:val="22"/>
        </w:rPr>
        <w:instrText xml:space="preserve"> REF _Ref40197172 \h  \* MERGEFORMAT </w:instrText>
      </w:r>
      <w:r w:rsidR="007C2877" w:rsidRPr="006B0CFE">
        <w:rPr>
          <w:sz w:val="22"/>
          <w:szCs w:val="22"/>
        </w:rPr>
      </w:r>
      <w:r w:rsidR="007C2877" w:rsidRPr="006B0CFE">
        <w:rPr>
          <w:sz w:val="22"/>
          <w:szCs w:val="22"/>
        </w:rPr>
        <w:fldChar w:fldCharType="separate"/>
      </w:r>
      <w:r w:rsidR="007C2877" w:rsidRPr="006B0CFE">
        <w:rPr>
          <w:sz w:val="22"/>
          <w:szCs w:val="22"/>
        </w:rPr>
        <w:t xml:space="preserve">Figure </w:t>
      </w:r>
      <w:r w:rsidR="007C2877" w:rsidRPr="006B0CFE">
        <w:rPr>
          <w:noProof/>
          <w:sz w:val="22"/>
          <w:szCs w:val="22"/>
        </w:rPr>
        <w:t>1</w:t>
      </w:r>
      <w:r w:rsidR="007C2877" w:rsidRPr="006B0CFE">
        <w:rPr>
          <w:sz w:val="22"/>
          <w:szCs w:val="22"/>
        </w:rPr>
        <w:fldChar w:fldCharType="end"/>
      </w:r>
      <w:r w:rsidR="007C2877" w:rsidRPr="006B0CFE">
        <w:rPr>
          <w:sz w:val="22"/>
          <w:szCs w:val="22"/>
        </w:rPr>
        <w:t>.</w:t>
      </w:r>
    </w:p>
    <w:p w:rsidR="007C2877" w:rsidRPr="006B0CFE" w:rsidRDefault="007C2877" w:rsidP="000B655A">
      <w:pPr>
        <w:contextualSpacing/>
        <w:jc w:val="both"/>
        <w:rPr>
          <w:sz w:val="22"/>
        </w:rPr>
      </w:pPr>
    </w:p>
    <w:p w:rsidR="007C2877" w:rsidRPr="006B0CFE" w:rsidRDefault="007C2877" w:rsidP="007C2877">
      <w:pPr>
        <w:contextualSpacing/>
        <w:jc w:val="center"/>
        <w:rPr>
          <w:sz w:val="22"/>
        </w:rPr>
      </w:pPr>
      <w:r w:rsidRPr="006B0CFE">
        <w:rPr>
          <w:noProof/>
        </w:rPr>
        <w:drawing>
          <wp:inline distT="0" distB="0" distL="0" distR="0">
            <wp:extent cx="4421875" cy="2736188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612" cy="2743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877" w:rsidRPr="006B0CFE" w:rsidRDefault="007C2877" w:rsidP="000B655A">
      <w:pPr>
        <w:contextualSpacing/>
        <w:jc w:val="both"/>
        <w:rPr>
          <w:sz w:val="22"/>
        </w:rPr>
      </w:pPr>
    </w:p>
    <w:p w:rsidR="007C2877" w:rsidRDefault="007C2877" w:rsidP="007C2877">
      <w:pPr>
        <w:pStyle w:val="Caption"/>
      </w:pPr>
      <w:bookmarkStart w:id="4" w:name="_Ref40197172"/>
      <w:r w:rsidRPr="006B0CFE">
        <w:t xml:space="preserve">Figure </w:t>
      </w:r>
      <w:r w:rsidRPr="006B0CFE">
        <w:fldChar w:fldCharType="begin"/>
      </w:r>
      <w:r w:rsidRPr="006B0CFE">
        <w:instrText xml:space="preserve"> SEQ Figure \* ARABIC </w:instrText>
      </w:r>
      <w:r w:rsidRPr="006B0CFE">
        <w:fldChar w:fldCharType="separate"/>
      </w:r>
      <w:r w:rsidRPr="006B0CFE">
        <w:rPr>
          <w:noProof/>
        </w:rPr>
        <w:t>1</w:t>
      </w:r>
      <w:r w:rsidRPr="006B0CFE">
        <w:fldChar w:fldCharType="end"/>
      </w:r>
      <w:bookmarkEnd w:id="4"/>
      <w:r w:rsidRPr="006B0CFE">
        <w:t xml:space="preserve">: Impact of LO leakage on </w:t>
      </w:r>
      <w:r w:rsidR="007E573D">
        <w:t xml:space="preserve">single carrier </w:t>
      </w:r>
      <w:r w:rsidRPr="006B0CFE">
        <w:t xml:space="preserve">NR-U SEM 0dBR peak reference level </w:t>
      </w:r>
      <w:r w:rsidR="007E573D">
        <w:t xml:space="preserve">(example of </w:t>
      </w:r>
      <w:r w:rsidRPr="006B0CFE">
        <w:t>CP_20M0_106RB0 waveform</w:t>
      </w:r>
      <w:r w:rsidR="007E573D">
        <w:t>).</w:t>
      </w:r>
      <w:r w:rsidRPr="006B0CFE">
        <w:t xml:space="preserve"> Screenshots captured at same PA back-off level. Top: -28dBc LO leakage enabled, Bottom: LO leakage disabled.</w:t>
      </w:r>
    </w:p>
    <w:p w:rsidR="00B10472" w:rsidRDefault="00B10472" w:rsidP="00EC6373">
      <w:pPr>
        <w:jc w:val="both"/>
        <w:rPr>
          <w:sz w:val="22"/>
        </w:rPr>
      </w:pPr>
      <w:r>
        <w:rPr>
          <w:sz w:val="22"/>
        </w:rPr>
        <w:t xml:space="preserve">The impact of LO leakage on SEM gating is </w:t>
      </w:r>
      <w:r w:rsidR="007E573D">
        <w:rPr>
          <w:sz w:val="22"/>
        </w:rPr>
        <w:t>also</w:t>
      </w:r>
      <w:r>
        <w:rPr>
          <w:sz w:val="22"/>
        </w:rPr>
        <w:t xml:space="preserve"> problematic in the case of </w:t>
      </w:r>
      <w:r w:rsidR="00B036CF">
        <w:rPr>
          <w:sz w:val="22"/>
        </w:rPr>
        <w:t xml:space="preserve">asymmetric </w:t>
      </w:r>
      <w:r>
        <w:rPr>
          <w:sz w:val="22"/>
        </w:rPr>
        <w:t xml:space="preserve">wideband </w:t>
      </w:r>
      <w:r w:rsidR="00B93BDA">
        <w:rPr>
          <w:sz w:val="22"/>
        </w:rPr>
        <w:t>operation</w:t>
      </w:r>
      <w:r w:rsidR="00343231">
        <w:rPr>
          <w:sz w:val="22"/>
        </w:rPr>
        <w:t xml:space="preserve">. Since there is currently </w:t>
      </w:r>
      <w:r w:rsidR="006132D0">
        <w:rPr>
          <w:sz w:val="22"/>
        </w:rPr>
        <w:t xml:space="preserve">no provision </w:t>
      </w:r>
      <w:r w:rsidR="00343231">
        <w:rPr>
          <w:sz w:val="22"/>
        </w:rPr>
        <w:t xml:space="preserve">in the </w:t>
      </w:r>
      <w:r w:rsidR="006132D0">
        <w:rPr>
          <w:sz w:val="22"/>
        </w:rPr>
        <w:t xml:space="preserve">test equipment to remove LO leakage from the </w:t>
      </w:r>
      <w:r w:rsidR="00B036CF">
        <w:rPr>
          <w:sz w:val="22"/>
        </w:rPr>
        <w:t xml:space="preserve">0dBr </w:t>
      </w:r>
      <w:r w:rsidR="006132D0">
        <w:rPr>
          <w:sz w:val="22"/>
        </w:rPr>
        <w:t>peak reference power measurement procedure</w:t>
      </w:r>
      <w:r w:rsidR="00343231">
        <w:rPr>
          <w:sz w:val="22"/>
        </w:rPr>
        <w:t>, we make the following proposal:</w:t>
      </w:r>
    </w:p>
    <w:p w:rsidR="00B10472" w:rsidRDefault="00B10472" w:rsidP="00EC6373">
      <w:pPr>
        <w:jc w:val="both"/>
        <w:rPr>
          <w:b/>
          <w:sz w:val="22"/>
        </w:rPr>
      </w:pPr>
    </w:p>
    <w:p w:rsidR="00EC6373" w:rsidRPr="000013CB" w:rsidRDefault="00EC6373" w:rsidP="00EC6373">
      <w:pPr>
        <w:jc w:val="both"/>
        <w:rPr>
          <w:b/>
          <w:sz w:val="22"/>
        </w:rPr>
      </w:pPr>
      <w:r w:rsidRPr="000013CB">
        <w:rPr>
          <w:b/>
          <w:sz w:val="22"/>
        </w:rPr>
        <w:t xml:space="preserve">Proposal </w:t>
      </w:r>
      <w:r>
        <w:rPr>
          <w:b/>
          <w:sz w:val="22"/>
        </w:rPr>
        <w:t>1</w:t>
      </w:r>
      <w:r w:rsidR="007E573D">
        <w:rPr>
          <w:b/>
          <w:sz w:val="22"/>
        </w:rPr>
        <w:t>:</w:t>
      </w:r>
      <w:r>
        <w:rPr>
          <w:b/>
          <w:sz w:val="22"/>
        </w:rPr>
        <w:t xml:space="preserve"> Further study the impact of LO leakage</w:t>
      </w:r>
      <w:r w:rsidR="00B10472">
        <w:rPr>
          <w:b/>
          <w:sz w:val="22"/>
        </w:rPr>
        <w:t xml:space="preserve"> onto the SEM measurement procedure for the case of single carrier, uplink carrier aggregation and wideband operation.</w:t>
      </w:r>
    </w:p>
    <w:p w:rsidR="00880EA1" w:rsidRDefault="00880EA1" w:rsidP="000B655A">
      <w:pPr>
        <w:contextualSpacing/>
        <w:jc w:val="both"/>
        <w:rPr>
          <w:sz w:val="22"/>
        </w:rPr>
      </w:pPr>
    </w:p>
    <w:p w:rsidR="00BD0CC2" w:rsidRPr="006B0CFE" w:rsidRDefault="00BD0CC2" w:rsidP="00BD0CC2">
      <w:pPr>
        <w:pStyle w:val="Heading2"/>
        <w:spacing w:after="240"/>
        <w:jc w:val="both"/>
        <w:rPr>
          <w:rFonts w:ascii="Times New Roman" w:hAnsi="Times New Roman"/>
        </w:rPr>
      </w:pPr>
      <w:r w:rsidRPr="006B0CFE">
        <w:rPr>
          <w:rFonts w:ascii="Times New Roman" w:hAnsi="Times New Roman"/>
        </w:rPr>
        <w:t>Measurement Results</w:t>
      </w:r>
    </w:p>
    <w:p w:rsidR="004811A9" w:rsidRDefault="006B0CFE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2"/>
        </w:rPr>
      </w:pPr>
      <w:r w:rsidRPr="006B0CFE">
        <w:rPr>
          <w:rFonts w:ascii="Times New Roman" w:hAnsi="Times New Roman" w:cs="Times New Roman"/>
          <w:sz w:val="22"/>
          <w:szCs w:val="22"/>
        </w:rPr>
        <w:fldChar w:fldCharType="begin"/>
      </w:r>
      <w:r w:rsidRPr="006B0CFE">
        <w:rPr>
          <w:rFonts w:ascii="Times New Roman" w:hAnsi="Times New Roman" w:cs="Times New Roman"/>
          <w:sz w:val="22"/>
          <w:szCs w:val="22"/>
        </w:rPr>
        <w:instrText xml:space="preserve"> REF _Ref40441275 \h  \* MERGEFORMAT </w:instrText>
      </w:r>
      <w:r w:rsidRPr="006B0CFE">
        <w:rPr>
          <w:rFonts w:ascii="Times New Roman" w:hAnsi="Times New Roman" w:cs="Times New Roman"/>
          <w:sz w:val="22"/>
          <w:szCs w:val="22"/>
        </w:rPr>
      </w:r>
      <w:r w:rsidRPr="006B0CFE">
        <w:rPr>
          <w:rFonts w:ascii="Times New Roman" w:hAnsi="Times New Roman" w:cs="Times New Roman"/>
          <w:sz w:val="22"/>
          <w:szCs w:val="22"/>
        </w:rPr>
        <w:fldChar w:fldCharType="separate"/>
      </w:r>
      <w:r w:rsidR="007E573D" w:rsidRPr="007E573D">
        <w:rPr>
          <w:rFonts w:ascii="Times New Roman" w:hAnsi="Times New Roman" w:cs="Times New Roman"/>
          <w:sz w:val="22"/>
          <w:szCs w:val="22"/>
        </w:rPr>
        <w:t xml:space="preserve">Figure </w:t>
      </w:r>
      <w:r w:rsidR="007E573D" w:rsidRPr="007E573D">
        <w:rPr>
          <w:rFonts w:ascii="Times New Roman" w:hAnsi="Times New Roman" w:cs="Times New Roman"/>
          <w:noProof/>
          <w:sz w:val="22"/>
          <w:szCs w:val="22"/>
        </w:rPr>
        <w:t>2</w:t>
      </w:r>
      <w:r w:rsidRPr="006B0CFE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06467">
        <w:rPr>
          <w:rFonts w:ascii="Times New Roman" w:hAnsi="Times New Roman" w:cs="Times New Roman"/>
          <w:sz w:val="22"/>
          <w:szCs w:val="22"/>
        </w:rPr>
        <w:t>summarizes</w:t>
      </w:r>
      <w:r>
        <w:rPr>
          <w:rFonts w:ascii="Times New Roman" w:hAnsi="Times New Roman" w:cs="Times New Roman"/>
          <w:sz w:val="22"/>
          <w:szCs w:val="22"/>
        </w:rPr>
        <w:t xml:space="preserve"> the measured back-off for each gating factor, each waveform for both PC3 and PC5 operation</w:t>
      </w:r>
      <w:r w:rsidR="004811A9">
        <w:rPr>
          <w:rFonts w:ascii="Times New Roman" w:hAnsi="Times New Roman" w:cs="Times New Roman"/>
          <w:sz w:val="22"/>
          <w:szCs w:val="22"/>
        </w:rPr>
        <w:t xml:space="preserve"> with from left to right:</w:t>
      </w:r>
    </w:p>
    <w:p w:rsidR="004811A9" w:rsidRDefault="004811A9" w:rsidP="000013CB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DFT-s-OFDM fully allocated waveforms in increasing SCS and Bandwidth</w:t>
      </w:r>
    </w:p>
    <w:p w:rsidR="004811A9" w:rsidRDefault="004811A9" w:rsidP="000013CB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CP-OFDM fully allocated waveforms</w:t>
      </w:r>
      <w:r w:rsidRPr="004811A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in increasing SCS and Bandwidth</w:t>
      </w:r>
    </w:p>
    <w:p w:rsidR="004811A9" w:rsidRDefault="004811A9" w:rsidP="004811A9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DFT-s-OFDM interlace waveforms in increasing SCS and Bandwidth</w:t>
      </w:r>
    </w:p>
    <w:p w:rsidR="004811A9" w:rsidRDefault="004811A9" w:rsidP="004811A9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CP-OFDM interlace waveforms</w:t>
      </w:r>
      <w:r w:rsidRPr="004811A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in increasing SCS and Bandwidth</w:t>
      </w:r>
    </w:p>
    <w:p w:rsidR="00DE2C0B" w:rsidRDefault="004811A9" w:rsidP="000013CB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Wideband operation DFT-s-OFDM waveform in increasing allocated sub-band </w:t>
      </w:r>
    </w:p>
    <w:p w:rsidR="004811A9" w:rsidRPr="006B0CFE" w:rsidRDefault="004811A9" w:rsidP="000013CB">
      <w:pPr>
        <w:pStyle w:val="ListParagraph"/>
        <w:numPr>
          <w:ilvl w:val="0"/>
          <w:numId w:val="38"/>
        </w:numPr>
        <w:ind w:firstLineChars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Wideband operation CP-OFDM waveform in increasing allocated sub-band</w:t>
      </w:r>
    </w:p>
    <w:p w:rsidR="00F2645C" w:rsidRPr="006B0CFE" w:rsidRDefault="00F2645C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</w:p>
    <w:p w:rsidR="00F2645C" w:rsidRPr="006B0CFE" w:rsidRDefault="00C52C0D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  <w:r w:rsidRPr="00C52C0D">
        <w:lastRenderedPageBreak/>
        <w:drawing>
          <wp:inline distT="0" distB="0" distL="0" distR="0">
            <wp:extent cx="6122035" cy="254417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p w:rsidR="00AD342A" w:rsidRPr="006B0CFE" w:rsidRDefault="00AD342A" w:rsidP="00AD342A">
      <w:pPr>
        <w:pStyle w:val="Caption"/>
      </w:pPr>
      <w:bookmarkStart w:id="6" w:name="_Ref40441275"/>
      <w:r w:rsidRPr="006B0CFE">
        <w:t xml:space="preserve">Figure </w:t>
      </w:r>
      <w:r w:rsidRPr="006B0CFE">
        <w:fldChar w:fldCharType="begin"/>
      </w:r>
      <w:r w:rsidRPr="006B0CFE">
        <w:instrText xml:space="preserve"> SEQ Figure \* ARABIC </w:instrText>
      </w:r>
      <w:r w:rsidRPr="006B0CFE">
        <w:fldChar w:fldCharType="separate"/>
      </w:r>
      <w:r w:rsidR="00343231">
        <w:rPr>
          <w:noProof/>
        </w:rPr>
        <w:t>2</w:t>
      </w:r>
      <w:r w:rsidRPr="006B0CFE">
        <w:fldChar w:fldCharType="end"/>
      </w:r>
      <w:bookmarkEnd w:id="6"/>
      <w:r w:rsidRPr="006B0CFE">
        <w:t xml:space="preserve">: </w:t>
      </w:r>
      <w:r w:rsidR="00BE7E65" w:rsidRPr="006B0CFE">
        <w:t>NR-U PC5, PC3 back-off measurement results.</w:t>
      </w:r>
    </w:p>
    <w:p w:rsidR="00F2645C" w:rsidRDefault="00F2645C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</w:p>
    <w:p w:rsidR="0046773D" w:rsidRDefault="0046773D" w:rsidP="0046773D">
      <w:pPr>
        <w:jc w:val="both"/>
        <w:rPr>
          <w:b/>
          <w:sz w:val="22"/>
        </w:rPr>
      </w:pPr>
      <w:r>
        <w:rPr>
          <w:b/>
          <w:sz w:val="22"/>
        </w:rPr>
        <w:t>Observation</w:t>
      </w:r>
      <w:r w:rsidRPr="006B0CFE">
        <w:rPr>
          <w:b/>
          <w:sz w:val="22"/>
        </w:rPr>
        <w:t xml:space="preserve"> 1: </w:t>
      </w:r>
      <w:r>
        <w:rPr>
          <w:b/>
          <w:sz w:val="22"/>
        </w:rPr>
        <w:t xml:space="preserve">Using the reference 1dB MPR waveform </w:t>
      </w:r>
      <w:r w:rsidRPr="0046773D">
        <w:rPr>
          <w:b/>
          <w:sz w:val="22"/>
        </w:rPr>
        <w:t>DFT_20M0_100RB3</w:t>
      </w:r>
      <w:r>
        <w:rPr>
          <w:b/>
          <w:sz w:val="22"/>
        </w:rPr>
        <w:t xml:space="preserve"> [1]:</w:t>
      </w:r>
    </w:p>
    <w:p w:rsidR="0046773D" w:rsidRDefault="0046773D" w:rsidP="0046773D">
      <w:pPr>
        <w:pStyle w:val="ListParagraph"/>
        <w:numPr>
          <w:ilvl w:val="0"/>
          <w:numId w:val="35"/>
        </w:numPr>
        <w:ind w:firstLineChars="0"/>
        <w:jc w:val="both"/>
        <w:rPr>
          <w:rFonts w:ascii="Times New Roman" w:hAnsi="Times New Roman" w:cs="Times New Roman"/>
          <w:b/>
          <w:sz w:val="22"/>
        </w:rPr>
      </w:pPr>
      <w:r w:rsidRPr="0046773D">
        <w:rPr>
          <w:rFonts w:ascii="Times New Roman" w:hAnsi="Times New Roman" w:cs="Times New Roman"/>
          <w:b/>
          <w:sz w:val="22"/>
        </w:rPr>
        <w:t>PC5 1dB MPR is gated by SEM</w:t>
      </w:r>
      <w:r w:rsidR="00960C15">
        <w:rPr>
          <w:rFonts w:ascii="Times New Roman" w:hAnsi="Times New Roman" w:cs="Times New Roman"/>
          <w:b/>
          <w:sz w:val="22"/>
        </w:rPr>
        <w:t>;</w:t>
      </w:r>
    </w:p>
    <w:p w:rsidR="0046773D" w:rsidRDefault="004811A9" w:rsidP="0046773D">
      <w:pPr>
        <w:pStyle w:val="ListParagraph"/>
        <w:numPr>
          <w:ilvl w:val="0"/>
          <w:numId w:val="35"/>
        </w:numPr>
        <w:ind w:firstLineChars="0"/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 xml:space="preserve">Using 30dB ACLR, </w:t>
      </w:r>
      <w:r w:rsidR="00124413">
        <w:rPr>
          <w:rFonts w:ascii="Times New Roman" w:hAnsi="Times New Roman" w:cs="Times New Roman"/>
          <w:b/>
          <w:sz w:val="22"/>
        </w:rPr>
        <w:t xml:space="preserve">DFT-s-OFDM fully allocated waveform </w:t>
      </w:r>
      <w:r w:rsidR="0046773D">
        <w:rPr>
          <w:rFonts w:ascii="Times New Roman" w:hAnsi="Times New Roman" w:cs="Times New Roman"/>
          <w:b/>
          <w:sz w:val="22"/>
        </w:rPr>
        <w:t>PC3 MPR is 1.5dB</w:t>
      </w:r>
      <w:r w:rsidR="00124413">
        <w:rPr>
          <w:rFonts w:ascii="Times New Roman" w:hAnsi="Times New Roman" w:cs="Times New Roman"/>
          <w:b/>
          <w:sz w:val="22"/>
        </w:rPr>
        <w:t xml:space="preserve"> which is equivalent to PC5 MPR for the same waveforms</w:t>
      </w:r>
      <w:r w:rsidR="00960C15">
        <w:rPr>
          <w:rFonts w:ascii="Times New Roman" w:hAnsi="Times New Roman" w:cs="Times New Roman"/>
          <w:b/>
          <w:sz w:val="22"/>
        </w:rPr>
        <w:t>; and</w:t>
      </w:r>
    </w:p>
    <w:p w:rsidR="0046773D" w:rsidRDefault="0046773D" w:rsidP="0046773D">
      <w:pPr>
        <w:pStyle w:val="ListParagraph"/>
        <w:numPr>
          <w:ilvl w:val="0"/>
          <w:numId w:val="35"/>
        </w:numPr>
        <w:ind w:firstLineChars="0"/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In both cases, EVM is not the dominating gating factor</w:t>
      </w:r>
      <w:r w:rsidR="00124413">
        <w:rPr>
          <w:rFonts w:ascii="Times New Roman" w:hAnsi="Times New Roman" w:cs="Times New Roman"/>
          <w:b/>
          <w:sz w:val="22"/>
        </w:rPr>
        <w:t xml:space="preserve"> but worst case PC5 SEM is close to 30dB ACLR PC3 based MPR.</w:t>
      </w:r>
    </w:p>
    <w:p w:rsidR="0046773D" w:rsidRPr="0046773D" w:rsidRDefault="0046773D" w:rsidP="0046773D">
      <w:pPr>
        <w:pStyle w:val="ListParagraph"/>
        <w:ind w:left="827" w:firstLineChars="0" w:firstLine="0"/>
        <w:jc w:val="both"/>
        <w:rPr>
          <w:rFonts w:ascii="Times New Roman" w:hAnsi="Times New Roman" w:cs="Times New Roman"/>
          <w:b/>
          <w:sz w:val="22"/>
        </w:rPr>
      </w:pPr>
    </w:p>
    <w:p w:rsidR="00906467" w:rsidRDefault="0046773D" w:rsidP="00906467">
      <w:pPr>
        <w:jc w:val="both"/>
        <w:rPr>
          <w:b/>
          <w:sz w:val="22"/>
        </w:rPr>
      </w:pPr>
      <w:r>
        <w:rPr>
          <w:b/>
          <w:sz w:val="22"/>
        </w:rPr>
        <w:t>Observation</w:t>
      </w:r>
      <w:r w:rsidRPr="006B0CFE">
        <w:rPr>
          <w:b/>
          <w:sz w:val="22"/>
        </w:rPr>
        <w:t xml:space="preserve"> </w:t>
      </w:r>
      <w:r>
        <w:rPr>
          <w:b/>
          <w:sz w:val="22"/>
        </w:rPr>
        <w:t>2</w:t>
      </w:r>
      <w:r w:rsidRPr="006B0CFE">
        <w:rPr>
          <w:b/>
          <w:sz w:val="22"/>
        </w:rPr>
        <w:t xml:space="preserve">: </w:t>
      </w:r>
      <w:r w:rsidR="00906467">
        <w:rPr>
          <w:b/>
          <w:sz w:val="22"/>
        </w:rPr>
        <w:t>For single CC, fully allocated waveforms and PC5 operation, b</w:t>
      </w:r>
      <w:r w:rsidR="00906467" w:rsidRPr="00906467">
        <w:rPr>
          <w:b/>
          <w:sz w:val="22"/>
        </w:rPr>
        <w:t>ack-off increases with spectrum utilization, and</w:t>
      </w:r>
      <w:r w:rsidR="00906467">
        <w:rPr>
          <w:b/>
          <w:sz w:val="22"/>
        </w:rPr>
        <w:t>:</w:t>
      </w:r>
    </w:p>
    <w:p w:rsidR="00906467" w:rsidRDefault="00906467" w:rsidP="00906467">
      <w:pPr>
        <w:pStyle w:val="ListParagraph"/>
        <w:numPr>
          <w:ilvl w:val="0"/>
          <w:numId w:val="37"/>
        </w:numPr>
        <w:ind w:firstLineChars="0"/>
        <w:jc w:val="both"/>
        <w:rPr>
          <w:rFonts w:ascii="Times New Roman" w:hAnsi="Times New Roman" w:cs="Times New Roman"/>
          <w:b/>
          <w:sz w:val="22"/>
        </w:rPr>
      </w:pPr>
      <w:r w:rsidRPr="00906467">
        <w:rPr>
          <w:rFonts w:ascii="Times New Roman" w:hAnsi="Times New Roman" w:cs="Times New Roman"/>
          <w:b/>
          <w:sz w:val="22"/>
        </w:rPr>
        <w:t>SEM remains dominating gating factor for DFT-s-OFDM waveforms</w:t>
      </w:r>
      <w:r w:rsidR="00960C15">
        <w:rPr>
          <w:rFonts w:ascii="Times New Roman" w:hAnsi="Times New Roman" w:cs="Times New Roman"/>
          <w:b/>
          <w:sz w:val="22"/>
        </w:rPr>
        <w:t>;</w:t>
      </w:r>
    </w:p>
    <w:p w:rsidR="00906467" w:rsidRPr="00906467" w:rsidRDefault="00906467" w:rsidP="00906467">
      <w:pPr>
        <w:pStyle w:val="ListParagraph"/>
        <w:numPr>
          <w:ilvl w:val="0"/>
          <w:numId w:val="37"/>
        </w:numPr>
        <w:ind w:firstLineChars="0"/>
        <w:jc w:val="both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EVM is the dominating gating factor for CP-OFDM waveforms</w:t>
      </w:r>
      <w:r w:rsidR="00960C15">
        <w:rPr>
          <w:rFonts w:ascii="Times New Roman" w:hAnsi="Times New Roman" w:cs="Times New Roman"/>
          <w:b/>
          <w:sz w:val="22"/>
        </w:rPr>
        <w:t>.</w:t>
      </w:r>
    </w:p>
    <w:p w:rsidR="00906467" w:rsidRPr="00906467" w:rsidRDefault="00906467" w:rsidP="00906467">
      <w:pPr>
        <w:jc w:val="both"/>
        <w:rPr>
          <w:b/>
          <w:sz w:val="22"/>
        </w:rPr>
      </w:pPr>
    </w:p>
    <w:p w:rsidR="0046773D" w:rsidRDefault="00906467" w:rsidP="0046773D">
      <w:pPr>
        <w:jc w:val="both"/>
        <w:rPr>
          <w:b/>
          <w:sz w:val="22"/>
        </w:rPr>
      </w:pPr>
      <w:r>
        <w:rPr>
          <w:b/>
          <w:sz w:val="22"/>
        </w:rPr>
        <w:t xml:space="preserve">Observation 3: </w:t>
      </w:r>
      <w:r w:rsidR="0046773D">
        <w:rPr>
          <w:b/>
          <w:sz w:val="22"/>
        </w:rPr>
        <w:t xml:space="preserve">For single </w:t>
      </w:r>
      <w:r>
        <w:rPr>
          <w:b/>
          <w:sz w:val="22"/>
        </w:rPr>
        <w:t xml:space="preserve">20MHz </w:t>
      </w:r>
      <w:r w:rsidR="0046773D">
        <w:rPr>
          <w:b/>
          <w:sz w:val="22"/>
        </w:rPr>
        <w:t>CC</w:t>
      </w:r>
      <w:r>
        <w:rPr>
          <w:b/>
          <w:sz w:val="22"/>
        </w:rPr>
        <w:t xml:space="preserve"> SCS15kHz, PC5 operation,</w:t>
      </w:r>
      <w:r w:rsidR="0046773D">
        <w:rPr>
          <w:b/>
          <w:sz w:val="22"/>
        </w:rPr>
        <w:t xml:space="preserve"> there is little difference in back-off between </w:t>
      </w:r>
      <w:r>
        <w:rPr>
          <w:b/>
          <w:sz w:val="22"/>
        </w:rPr>
        <w:t>each 1RB</w:t>
      </w:r>
      <w:r w:rsidR="0046773D">
        <w:rPr>
          <w:b/>
          <w:sz w:val="22"/>
        </w:rPr>
        <w:t xml:space="preserve"> interlaced waveforms</w:t>
      </w:r>
      <w:r>
        <w:rPr>
          <w:b/>
          <w:sz w:val="22"/>
        </w:rPr>
        <w:t xml:space="preserve">. Back-off reaches a minimum for waveforms in which the RB image is shifted so that minimum impact on SEM limits occur (refer to </w:t>
      </w:r>
      <w:r w:rsidRPr="00906467">
        <w:rPr>
          <w:b/>
          <w:sz w:val="22"/>
        </w:rPr>
        <w:t>DFT_20M0_10x1RB9</w:t>
      </w:r>
      <w:r>
        <w:rPr>
          <w:b/>
          <w:sz w:val="22"/>
        </w:rPr>
        <w:t>).</w:t>
      </w:r>
    </w:p>
    <w:p w:rsidR="00B95156" w:rsidRDefault="00B95156" w:rsidP="0046773D">
      <w:pPr>
        <w:jc w:val="both"/>
        <w:rPr>
          <w:b/>
          <w:sz w:val="22"/>
        </w:rPr>
      </w:pPr>
    </w:p>
    <w:p w:rsidR="00B95156" w:rsidRDefault="00B95156" w:rsidP="00B95156">
      <w:pPr>
        <w:jc w:val="both"/>
        <w:rPr>
          <w:b/>
          <w:sz w:val="22"/>
        </w:rPr>
      </w:pPr>
      <w:r>
        <w:rPr>
          <w:b/>
          <w:sz w:val="22"/>
        </w:rPr>
        <w:t xml:space="preserve">Observation 4: 0dB MPR waveforms </w:t>
      </w:r>
      <w:r w:rsidR="004811A9">
        <w:rPr>
          <w:b/>
          <w:sz w:val="22"/>
        </w:rPr>
        <w:t>cannot be identified</w:t>
      </w:r>
      <w:r w:rsidR="00124413">
        <w:rPr>
          <w:b/>
          <w:sz w:val="22"/>
        </w:rPr>
        <w:t>.</w:t>
      </w:r>
    </w:p>
    <w:p w:rsidR="0046773D" w:rsidRPr="006B0CFE" w:rsidRDefault="0046773D" w:rsidP="0046773D">
      <w:pPr>
        <w:jc w:val="both"/>
        <w:rPr>
          <w:rFonts w:eastAsia="SimSun"/>
          <w:sz w:val="22"/>
          <w:lang w:eastAsia="zh-CN"/>
        </w:rPr>
      </w:pPr>
    </w:p>
    <w:p w:rsidR="0046773D" w:rsidRDefault="00B411B5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Measured back-off levels</w:t>
      </w:r>
      <w:r w:rsidR="004811A9">
        <w:rPr>
          <w:rFonts w:ascii="Times New Roman" w:hAnsi="Times New Roman" w:cs="Times New Roman"/>
          <w:sz w:val="22"/>
          <w:szCs w:val="20"/>
        </w:rPr>
        <w:t xml:space="preserve"> and associated limits</w:t>
      </w:r>
      <w:r>
        <w:rPr>
          <w:rFonts w:ascii="Times New Roman" w:hAnsi="Times New Roman" w:cs="Times New Roman"/>
          <w:sz w:val="22"/>
          <w:szCs w:val="20"/>
        </w:rPr>
        <w:t xml:space="preserve"> are summarized </w:t>
      </w:r>
      <w:r w:rsidRPr="003B37B4">
        <w:rPr>
          <w:rFonts w:ascii="Times New Roman" w:hAnsi="Times New Roman" w:cs="Times New Roman"/>
          <w:sz w:val="22"/>
          <w:szCs w:val="22"/>
        </w:rPr>
        <w:t>in</w:t>
      </w:r>
      <w:r w:rsidR="003B37B4" w:rsidRPr="003B37B4">
        <w:rPr>
          <w:rFonts w:ascii="Times New Roman" w:hAnsi="Times New Roman" w:cs="Times New Roman"/>
          <w:sz w:val="22"/>
          <w:szCs w:val="22"/>
        </w:rPr>
        <w:t xml:space="preserve"> </w:t>
      </w:r>
      <w:r w:rsidR="003B37B4" w:rsidRPr="003B37B4">
        <w:rPr>
          <w:rFonts w:ascii="Times New Roman" w:hAnsi="Times New Roman" w:cs="Times New Roman"/>
          <w:sz w:val="22"/>
          <w:szCs w:val="22"/>
        </w:rPr>
        <w:fldChar w:fldCharType="begin"/>
      </w:r>
      <w:r w:rsidR="003B37B4" w:rsidRPr="003B37B4">
        <w:rPr>
          <w:rFonts w:ascii="Times New Roman" w:hAnsi="Times New Roman" w:cs="Times New Roman"/>
          <w:sz w:val="22"/>
          <w:szCs w:val="22"/>
        </w:rPr>
        <w:instrText xml:space="preserve"> REF _Ref40442756 \h  \* MERGEFORMAT </w:instrText>
      </w:r>
      <w:r w:rsidR="003B37B4" w:rsidRPr="003B37B4">
        <w:rPr>
          <w:rFonts w:ascii="Times New Roman" w:hAnsi="Times New Roman" w:cs="Times New Roman"/>
          <w:sz w:val="22"/>
          <w:szCs w:val="22"/>
        </w:rPr>
      </w:r>
      <w:r w:rsidR="003B37B4" w:rsidRPr="003B37B4">
        <w:rPr>
          <w:rFonts w:ascii="Times New Roman" w:hAnsi="Times New Roman" w:cs="Times New Roman"/>
          <w:sz w:val="22"/>
          <w:szCs w:val="22"/>
        </w:rPr>
        <w:fldChar w:fldCharType="separate"/>
      </w:r>
      <w:r w:rsidR="003B37B4" w:rsidRPr="003B37B4">
        <w:rPr>
          <w:rFonts w:ascii="Times New Roman" w:hAnsi="Times New Roman" w:cs="Times New Roman"/>
          <w:sz w:val="22"/>
          <w:szCs w:val="22"/>
        </w:rPr>
        <w:t xml:space="preserve">Table </w:t>
      </w:r>
      <w:r w:rsidR="003B37B4" w:rsidRPr="003B37B4">
        <w:rPr>
          <w:rFonts w:ascii="Times New Roman" w:hAnsi="Times New Roman" w:cs="Times New Roman"/>
          <w:noProof/>
          <w:sz w:val="22"/>
          <w:szCs w:val="22"/>
        </w:rPr>
        <w:t>2</w:t>
      </w:r>
      <w:r w:rsidR="003B37B4" w:rsidRPr="003B37B4">
        <w:rPr>
          <w:rFonts w:ascii="Times New Roman" w:hAnsi="Times New Roman" w:cs="Times New Roman"/>
          <w:sz w:val="22"/>
          <w:szCs w:val="22"/>
        </w:rPr>
        <w:fldChar w:fldCharType="end"/>
      </w:r>
      <w:r w:rsidR="003B37B4">
        <w:rPr>
          <w:rFonts w:ascii="Times New Roman" w:hAnsi="Times New Roman" w:cs="Times New Roman"/>
          <w:sz w:val="22"/>
          <w:szCs w:val="22"/>
        </w:rPr>
        <w:t>.</w:t>
      </w:r>
    </w:p>
    <w:p w:rsidR="00B411B5" w:rsidRDefault="00B411B5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</w:p>
    <w:p w:rsidR="003B37B4" w:rsidRDefault="003B37B4" w:rsidP="003B37B4">
      <w:pPr>
        <w:pStyle w:val="Caption"/>
        <w:rPr>
          <w:sz w:val="22"/>
        </w:rPr>
      </w:pPr>
      <w:bookmarkStart w:id="7" w:name="_Ref40442756"/>
      <w:r w:rsidRPr="006B0CFE">
        <w:t xml:space="preserve">Table </w:t>
      </w:r>
      <w:r w:rsidRPr="006B0CFE">
        <w:fldChar w:fldCharType="begin"/>
      </w:r>
      <w:r w:rsidRPr="006B0CFE">
        <w:instrText xml:space="preserve"> SEQ Table \* ARABIC </w:instrText>
      </w:r>
      <w:r w:rsidRPr="006B0CFE">
        <w:fldChar w:fldCharType="separate"/>
      </w:r>
      <w:r>
        <w:rPr>
          <w:noProof/>
        </w:rPr>
        <w:t>2</w:t>
      </w:r>
      <w:r w:rsidRPr="006B0CFE">
        <w:fldChar w:fldCharType="end"/>
      </w:r>
      <w:bookmarkEnd w:id="7"/>
      <w:r w:rsidRPr="006B0CFE">
        <w:t xml:space="preserve">: </w:t>
      </w:r>
      <w:r>
        <w:t>PC3, PC5 back-off levels and gating factor summary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900"/>
        <w:gridCol w:w="1987"/>
        <w:gridCol w:w="495"/>
        <w:gridCol w:w="673"/>
        <w:gridCol w:w="495"/>
        <w:gridCol w:w="673"/>
        <w:gridCol w:w="495"/>
        <w:gridCol w:w="673"/>
        <w:gridCol w:w="495"/>
        <w:gridCol w:w="673"/>
      </w:tblGrid>
      <w:tr w:rsidR="00B411B5" w:rsidTr="00B411B5">
        <w:trPr>
          <w:trHeight w:val="288"/>
          <w:jc w:val="center"/>
        </w:trPr>
        <w:tc>
          <w:tcPr>
            <w:tcW w:w="38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Waveform / Back-off / Gating factor</w:t>
            </w:r>
          </w:p>
        </w:tc>
        <w:tc>
          <w:tcPr>
            <w:tcW w:w="20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B5" w:rsidRDefault="00B411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20MHz</w:t>
            </w:r>
          </w:p>
        </w:tc>
        <w:tc>
          <w:tcPr>
            <w:tcW w:w="20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B5" w:rsidRDefault="00B411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&gt;20MHz</w:t>
            </w:r>
          </w:p>
        </w:tc>
      </w:tr>
      <w:tr w:rsidR="00B411B5" w:rsidTr="00B411B5">
        <w:trPr>
          <w:trHeight w:val="300"/>
          <w:jc w:val="center"/>
        </w:trPr>
        <w:tc>
          <w:tcPr>
            <w:tcW w:w="38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411B5" w:rsidRDefault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B5" w:rsidRDefault="00B411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B5" w:rsidRDefault="00B411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PC3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TxDiv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1B5" w:rsidRDefault="00B411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PC5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411B5" w:rsidRDefault="00B411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PC3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TxDiv</w:t>
            </w:r>
            <w:proofErr w:type="spellEnd"/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PC REFERENCE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DFT_20M0_100RB3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3175E8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</w:t>
            </w:r>
            <w:r w:rsidR="00B411B5">
              <w:rPr>
                <w:rFonts w:ascii="Calibri" w:hAnsi="Calibri" w:cs="Calibri"/>
                <w:color w:val="000000"/>
                <w:sz w:val="22"/>
                <w:szCs w:val="22"/>
              </w:rPr>
              <w:t>ull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allocations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DFT-s-OFDM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CP-OFDM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EVM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Interlace</w:t>
            </w:r>
            <w:r w:rsidR="003175E8">
              <w:rPr>
                <w:rFonts w:ascii="Calibri" w:hAnsi="Calibri" w:cs="Calibri"/>
                <w:color w:val="000000"/>
                <w:sz w:val="22"/>
                <w:szCs w:val="22"/>
              </w:rPr>
              <w:t>d allocations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DFT-s-OFDM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CP-OFDM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ACLR</w:t>
            </w: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WB1 = 1sub-band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DFT-s-OFDM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CP-OFDM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WB2 = 2sub-band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DFT-s-OFDM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CP-OFDM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WB3 = 3sub-band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DFT-s-OFDM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288"/>
          <w:jc w:val="center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CP-OFDM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300"/>
          <w:jc w:val="center"/>
        </w:trPr>
        <w:tc>
          <w:tcPr>
            <w:tcW w:w="19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WB4 = 4sub-band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DFT-s-OFDM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411B5" w:rsidTr="00B411B5">
        <w:trPr>
          <w:trHeight w:val="300"/>
          <w:jc w:val="center"/>
        </w:trPr>
        <w:tc>
          <w:tcPr>
            <w:tcW w:w="19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CP-OFDM</w:t>
            </w:r>
          </w:p>
        </w:tc>
        <w:tc>
          <w:tcPr>
            <w:tcW w:w="3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SEM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11B5" w:rsidRDefault="00B411B5" w:rsidP="00B411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B411B5" w:rsidRDefault="00B411B5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</w:p>
    <w:p w:rsidR="003175E8" w:rsidRDefault="00124413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 xml:space="preserve">Observation </w:t>
      </w:r>
      <w:r w:rsidR="007E573D">
        <w:rPr>
          <w:rFonts w:ascii="Times New Roman" w:hAnsi="Times New Roman" w:cs="Times New Roman"/>
          <w:b/>
          <w:sz w:val="22"/>
          <w:szCs w:val="20"/>
        </w:rPr>
        <w:t>5</w:t>
      </w:r>
      <w:r w:rsidRPr="000013CB">
        <w:rPr>
          <w:rFonts w:ascii="Times New Roman" w:hAnsi="Times New Roman" w:cs="Times New Roman"/>
          <w:b/>
          <w:sz w:val="22"/>
          <w:szCs w:val="20"/>
        </w:rPr>
        <w:t xml:space="preserve">: </w:t>
      </w:r>
      <w:r w:rsidR="003175E8" w:rsidRPr="000013CB">
        <w:rPr>
          <w:rFonts w:ascii="Times New Roman" w:hAnsi="Times New Roman" w:cs="Times New Roman"/>
          <w:b/>
          <w:sz w:val="22"/>
          <w:szCs w:val="20"/>
        </w:rPr>
        <w:t xml:space="preserve">Considering </w:t>
      </w:r>
      <w:r w:rsidR="00B10472">
        <w:rPr>
          <w:rFonts w:ascii="Times New Roman" w:hAnsi="Times New Roman" w:cs="Times New Roman"/>
          <w:b/>
          <w:sz w:val="22"/>
          <w:szCs w:val="20"/>
        </w:rPr>
        <w:t>the</w:t>
      </w:r>
      <w:r w:rsidR="003175E8" w:rsidRPr="000013CB">
        <w:rPr>
          <w:rFonts w:ascii="Times New Roman" w:hAnsi="Times New Roman" w:cs="Times New Roman"/>
          <w:b/>
          <w:sz w:val="22"/>
          <w:szCs w:val="20"/>
        </w:rPr>
        <w:t xml:space="preserve"> budget of 10.8% rms</w:t>
      </w:r>
      <w:r w:rsidR="00B10472">
        <w:rPr>
          <w:rFonts w:ascii="Times New Roman" w:hAnsi="Times New Roman" w:cs="Times New Roman"/>
          <w:b/>
          <w:sz w:val="22"/>
          <w:szCs w:val="20"/>
        </w:rPr>
        <w:t xml:space="preserve"> (including </w:t>
      </w:r>
      <w:r w:rsidR="00343231">
        <w:rPr>
          <w:rFonts w:ascii="Times New Roman" w:hAnsi="Times New Roman" w:cs="Times New Roman"/>
          <w:b/>
          <w:sz w:val="22"/>
          <w:szCs w:val="20"/>
        </w:rPr>
        <w:t xml:space="preserve">the </w:t>
      </w:r>
      <w:r w:rsidR="00B10472">
        <w:rPr>
          <w:rFonts w:ascii="Times New Roman" w:hAnsi="Times New Roman" w:cs="Times New Roman"/>
          <w:b/>
          <w:sz w:val="22"/>
          <w:szCs w:val="20"/>
        </w:rPr>
        <w:t>image rejection contribution)</w:t>
      </w:r>
      <w:r w:rsidR="00343231">
        <w:rPr>
          <w:rFonts w:ascii="Times New Roman" w:hAnsi="Times New Roman" w:cs="Times New Roman"/>
          <w:b/>
          <w:sz w:val="22"/>
          <w:szCs w:val="20"/>
        </w:rPr>
        <w:t>, EVM</w:t>
      </w:r>
      <w:r w:rsidR="003175E8" w:rsidRPr="000013CB">
        <w:rPr>
          <w:rFonts w:ascii="Times New Roman" w:hAnsi="Times New Roman" w:cs="Times New Roman"/>
          <w:b/>
          <w:sz w:val="22"/>
          <w:szCs w:val="20"/>
        </w:rPr>
        <w:t xml:space="preserve"> becomes the dominating gating factor for CP-OFDM waveforms</w:t>
      </w:r>
      <w:r w:rsidR="00343231">
        <w:rPr>
          <w:rFonts w:ascii="Times New Roman" w:hAnsi="Times New Roman" w:cs="Times New Roman"/>
          <w:b/>
          <w:sz w:val="22"/>
          <w:szCs w:val="20"/>
        </w:rPr>
        <w:t>. F</w:t>
      </w:r>
      <w:r w:rsidR="003175E8" w:rsidRPr="000013CB">
        <w:rPr>
          <w:rFonts w:ascii="Times New Roman" w:hAnsi="Times New Roman" w:cs="Times New Roman"/>
          <w:b/>
          <w:sz w:val="22"/>
          <w:szCs w:val="20"/>
        </w:rPr>
        <w:t>urther MPR evaluations is needed to investigate the impact on the MPR required for interlaced waveforms.</w:t>
      </w:r>
      <w:r w:rsidR="003175E8">
        <w:rPr>
          <w:rFonts w:ascii="Times New Roman" w:hAnsi="Times New Roman" w:cs="Times New Roman"/>
          <w:sz w:val="22"/>
          <w:szCs w:val="20"/>
        </w:rPr>
        <w:t xml:space="preserve"> </w:t>
      </w:r>
    </w:p>
    <w:p w:rsidR="003175E8" w:rsidRDefault="003175E8" w:rsidP="00F46470">
      <w:pPr>
        <w:pStyle w:val="ListParagraph"/>
        <w:ind w:firstLineChars="0" w:firstLine="0"/>
        <w:rPr>
          <w:rFonts w:ascii="Times New Roman" w:hAnsi="Times New Roman" w:cs="Times New Roman"/>
          <w:sz w:val="22"/>
          <w:szCs w:val="20"/>
        </w:rPr>
      </w:pPr>
    </w:p>
    <w:p w:rsidR="00124413" w:rsidRPr="000013CB" w:rsidRDefault="003175E8" w:rsidP="00124413">
      <w:pPr>
        <w:jc w:val="both"/>
        <w:rPr>
          <w:b/>
          <w:sz w:val="22"/>
        </w:rPr>
      </w:pPr>
      <w:r w:rsidRPr="000013CB">
        <w:rPr>
          <w:b/>
          <w:sz w:val="22"/>
        </w:rPr>
        <w:t xml:space="preserve">Proposal </w:t>
      </w:r>
      <w:r w:rsidR="007E573D">
        <w:rPr>
          <w:b/>
          <w:sz w:val="22"/>
        </w:rPr>
        <w:t>2</w:t>
      </w:r>
      <w:r w:rsidR="00124413" w:rsidRPr="000013CB">
        <w:rPr>
          <w:b/>
          <w:sz w:val="22"/>
        </w:rPr>
        <w:t xml:space="preserve"> on PC3 power class definition</w:t>
      </w:r>
      <w:r w:rsidRPr="000013CB">
        <w:rPr>
          <w:b/>
          <w:sz w:val="22"/>
        </w:rPr>
        <w:t xml:space="preserve">: </w:t>
      </w:r>
    </w:p>
    <w:p w:rsidR="00124413" w:rsidRPr="000013CB" w:rsidRDefault="00124413" w:rsidP="000013CB">
      <w:pPr>
        <w:pStyle w:val="ListParagraph"/>
        <w:numPr>
          <w:ilvl w:val="0"/>
          <w:numId w:val="40"/>
        </w:numPr>
        <w:ind w:firstLineChars="0" w:hanging="426"/>
        <w:jc w:val="both"/>
        <w:rPr>
          <w:rFonts w:ascii="Times New Roman" w:hAnsi="Times New Roman" w:cs="Times New Roman"/>
          <w:b/>
          <w:sz w:val="22"/>
        </w:rPr>
      </w:pPr>
      <w:r w:rsidRPr="000013CB">
        <w:rPr>
          <w:rFonts w:ascii="Times New Roman" w:eastAsia="Times New Roman" w:hAnsi="Times New Roman" w:cs="Times New Roman"/>
          <w:b/>
          <w:sz w:val="22"/>
          <w:lang w:eastAsia="en-US"/>
        </w:rPr>
        <w:t>PC3 ACLR is 30dB</w:t>
      </w:r>
      <w:r w:rsidR="00960C15">
        <w:rPr>
          <w:rFonts w:ascii="Times New Roman" w:eastAsia="Times New Roman" w:hAnsi="Times New Roman" w:cs="Times New Roman"/>
          <w:b/>
          <w:sz w:val="22"/>
          <w:lang w:eastAsia="en-US"/>
        </w:rPr>
        <w:t>; and</w:t>
      </w:r>
    </w:p>
    <w:p w:rsidR="000013CB" w:rsidRPr="000013CB" w:rsidRDefault="00124413" w:rsidP="000013CB">
      <w:pPr>
        <w:pStyle w:val="ListParagraph"/>
        <w:numPr>
          <w:ilvl w:val="0"/>
          <w:numId w:val="40"/>
        </w:numPr>
        <w:ind w:firstLineChars="0" w:hanging="426"/>
        <w:jc w:val="both"/>
        <w:rPr>
          <w:rFonts w:ascii="Times New Roman" w:eastAsia="Times New Roman" w:hAnsi="Times New Roman" w:cs="Times New Roman"/>
          <w:b/>
          <w:sz w:val="22"/>
        </w:rPr>
      </w:pPr>
      <w:r w:rsidRPr="000013CB">
        <w:rPr>
          <w:rFonts w:ascii="Times New Roman" w:hAnsi="Times New Roman" w:cs="Times New Roman"/>
          <w:b/>
          <w:sz w:val="22"/>
        </w:rPr>
        <w:t>PC3 is defined at 23dBm +2</w:t>
      </w:r>
      <w:r w:rsidRPr="000013CB">
        <w:rPr>
          <w:rFonts w:ascii="Times New Roman" w:hAnsi="Times New Roman" w:cs="Times New Roman"/>
          <w:b/>
          <w:sz w:val="22"/>
          <w:lang w:val="en-CA"/>
        </w:rPr>
        <w:t xml:space="preserve">/-3dB with 1.5dB MPR for DFT-s-OFDM QPSK </w:t>
      </w:r>
      <w:r w:rsidR="00040845" w:rsidRPr="000013CB">
        <w:rPr>
          <w:rFonts w:ascii="Times New Roman" w:hAnsi="Times New Roman" w:cs="Times New Roman"/>
          <w:b/>
          <w:sz w:val="22"/>
          <w:lang w:val="en-CA"/>
        </w:rPr>
        <w:t xml:space="preserve">20 MHz </w:t>
      </w:r>
      <w:r w:rsidRPr="000013CB">
        <w:rPr>
          <w:rFonts w:ascii="Times New Roman" w:hAnsi="Times New Roman" w:cs="Times New Roman"/>
          <w:b/>
          <w:sz w:val="22"/>
          <w:lang w:val="en-CA"/>
        </w:rPr>
        <w:t>100RB3 waveform</w:t>
      </w:r>
      <w:r w:rsidR="00960C15">
        <w:rPr>
          <w:rFonts w:ascii="Times New Roman" w:hAnsi="Times New Roman" w:cs="Times New Roman"/>
          <w:b/>
          <w:sz w:val="22"/>
          <w:lang w:val="en-CA"/>
        </w:rPr>
        <w:t>.</w:t>
      </w:r>
    </w:p>
    <w:p w:rsidR="0046773D" w:rsidRPr="000013CB" w:rsidRDefault="0046773D" w:rsidP="00124413">
      <w:pPr>
        <w:pStyle w:val="ListParagraph"/>
        <w:ind w:firstLineChars="0" w:firstLine="0"/>
        <w:rPr>
          <w:rFonts w:ascii="Times New Roman" w:hAnsi="Times New Roman" w:cs="Times New Roman"/>
          <w:b/>
          <w:sz w:val="22"/>
          <w:szCs w:val="20"/>
        </w:rPr>
      </w:pPr>
    </w:p>
    <w:p w:rsidR="00124413" w:rsidRPr="000013CB" w:rsidRDefault="00124413" w:rsidP="00124413">
      <w:pPr>
        <w:pStyle w:val="ListParagraph"/>
        <w:ind w:firstLineChars="0" w:firstLine="0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 xml:space="preserve">Proposal </w:t>
      </w:r>
      <w:r w:rsidR="007E573D">
        <w:rPr>
          <w:rFonts w:ascii="Times New Roman" w:hAnsi="Times New Roman" w:cs="Times New Roman"/>
          <w:b/>
          <w:sz w:val="22"/>
          <w:szCs w:val="20"/>
        </w:rPr>
        <w:t>3</w:t>
      </w:r>
      <w:r w:rsidRPr="000013CB">
        <w:rPr>
          <w:rFonts w:ascii="Times New Roman" w:hAnsi="Times New Roman" w:cs="Times New Roman"/>
          <w:b/>
          <w:sz w:val="22"/>
          <w:szCs w:val="20"/>
        </w:rPr>
        <w:t xml:space="preserve"> on PC5 MPR:</w:t>
      </w:r>
    </w:p>
    <w:p w:rsidR="00124413" w:rsidRPr="000013CB" w:rsidRDefault="00124413" w:rsidP="000013CB">
      <w:pPr>
        <w:pStyle w:val="ListParagraph"/>
        <w:numPr>
          <w:ilvl w:val="0"/>
          <w:numId w:val="40"/>
        </w:numPr>
        <w:ind w:firstLineChars="0" w:hanging="426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>Separate MPR values for up to 20MHz channel bandwidth and above 20MHZ channel bandwidth are evaluated</w:t>
      </w:r>
      <w:r w:rsidR="00960C15">
        <w:rPr>
          <w:rFonts w:ascii="Times New Roman" w:hAnsi="Times New Roman" w:cs="Times New Roman"/>
          <w:b/>
          <w:sz w:val="22"/>
          <w:szCs w:val="20"/>
        </w:rPr>
        <w:t>;</w:t>
      </w:r>
    </w:p>
    <w:p w:rsidR="00124413" w:rsidRPr="000013CB" w:rsidRDefault="00124413" w:rsidP="000013CB">
      <w:pPr>
        <w:pStyle w:val="ListParagraph"/>
        <w:numPr>
          <w:ilvl w:val="0"/>
          <w:numId w:val="40"/>
        </w:numPr>
        <w:ind w:firstLineChars="0" w:hanging="426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>Separate MPR value are used for CP-OFDM and DFT-s-OFDM</w:t>
      </w:r>
      <w:r w:rsidR="00960C15">
        <w:rPr>
          <w:rFonts w:ascii="Times New Roman" w:hAnsi="Times New Roman" w:cs="Times New Roman"/>
          <w:b/>
          <w:sz w:val="22"/>
          <w:szCs w:val="20"/>
        </w:rPr>
        <w:t>; and</w:t>
      </w:r>
    </w:p>
    <w:p w:rsidR="00124413" w:rsidRPr="000013CB" w:rsidRDefault="00124413" w:rsidP="000013CB">
      <w:pPr>
        <w:pStyle w:val="ListParagraph"/>
        <w:numPr>
          <w:ilvl w:val="0"/>
          <w:numId w:val="40"/>
        </w:numPr>
        <w:ind w:firstLineChars="0" w:hanging="426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 xml:space="preserve">Values in Table 2 are used for defining </w:t>
      </w:r>
      <w:r w:rsidR="00040845" w:rsidRPr="000013CB">
        <w:rPr>
          <w:rFonts w:ascii="Times New Roman" w:hAnsi="Times New Roman" w:cs="Times New Roman"/>
          <w:b/>
          <w:sz w:val="22"/>
          <w:szCs w:val="20"/>
        </w:rPr>
        <w:t xml:space="preserve">CP-OFDM and DFT-s-OFDM QPSK </w:t>
      </w:r>
      <w:r w:rsidRPr="000013CB">
        <w:rPr>
          <w:rFonts w:ascii="Times New Roman" w:hAnsi="Times New Roman" w:cs="Times New Roman"/>
          <w:b/>
          <w:sz w:val="22"/>
          <w:szCs w:val="20"/>
        </w:rPr>
        <w:t>MPR for fully allocated</w:t>
      </w:r>
      <w:r w:rsidR="00040845" w:rsidRPr="000013CB">
        <w:rPr>
          <w:rFonts w:ascii="Times New Roman" w:hAnsi="Times New Roman" w:cs="Times New Roman"/>
          <w:b/>
          <w:sz w:val="22"/>
          <w:szCs w:val="20"/>
        </w:rPr>
        <w:t xml:space="preserve"> and interlaced waveforms</w:t>
      </w:r>
      <w:r w:rsidR="00960C15">
        <w:rPr>
          <w:rFonts w:ascii="Times New Roman" w:hAnsi="Times New Roman" w:cs="Times New Roman"/>
          <w:b/>
          <w:sz w:val="22"/>
          <w:szCs w:val="20"/>
        </w:rPr>
        <w:t>.</w:t>
      </w:r>
    </w:p>
    <w:p w:rsidR="002B0DC4" w:rsidRPr="006B0CFE" w:rsidRDefault="002B0DC4" w:rsidP="002B0DC4">
      <w:pPr>
        <w:pStyle w:val="Heading1"/>
        <w:rPr>
          <w:rFonts w:ascii="Times New Roman" w:hAnsi="Times New Roman"/>
        </w:rPr>
      </w:pPr>
      <w:r w:rsidRPr="006B0CFE">
        <w:rPr>
          <w:rFonts w:ascii="Times New Roman" w:hAnsi="Times New Roman"/>
        </w:rPr>
        <w:t>Conclusion</w:t>
      </w:r>
    </w:p>
    <w:p w:rsidR="00DE2C0B" w:rsidRDefault="00B50E54" w:rsidP="00DE2C0B">
      <w:pPr>
        <w:jc w:val="both"/>
        <w:rPr>
          <w:rFonts w:eastAsia="SimSun"/>
          <w:sz w:val="22"/>
          <w:lang w:eastAsia="zh-CN"/>
        </w:rPr>
      </w:pPr>
      <w:r w:rsidRPr="00B50E54">
        <w:rPr>
          <w:rFonts w:eastAsia="SimSun"/>
          <w:sz w:val="22"/>
          <w:lang w:eastAsia="zh-CN"/>
        </w:rPr>
        <w:t xml:space="preserve">In this contribution, we present our measurement results for NRU single carrier </w:t>
      </w:r>
      <w:r w:rsidR="00B95156">
        <w:rPr>
          <w:rFonts w:eastAsia="SimSun"/>
          <w:sz w:val="22"/>
          <w:lang w:eastAsia="zh-CN"/>
        </w:rPr>
        <w:t xml:space="preserve">and wideband </w:t>
      </w:r>
      <w:r w:rsidRPr="00B50E54">
        <w:rPr>
          <w:rFonts w:eastAsia="SimSun"/>
          <w:sz w:val="22"/>
          <w:lang w:eastAsia="zh-CN"/>
        </w:rPr>
        <w:t>operation</w:t>
      </w:r>
      <w:r w:rsidR="00B95156">
        <w:rPr>
          <w:rFonts w:eastAsia="SimSun"/>
          <w:sz w:val="22"/>
          <w:lang w:eastAsia="zh-CN"/>
        </w:rPr>
        <w:t>. It was not possible to identify a 0dB MPR waveform on the limited tested waveforms. Considering EVM is the dominating factor for CP-OFDM waveforms, we encourage interested companies in evaluation the MPR needed for interlaced waveforms.</w:t>
      </w:r>
      <w:r w:rsidR="00343231">
        <w:rPr>
          <w:rFonts w:eastAsia="SimSun"/>
          <w:sz w:val="22"/>
          <w:lang w:eastAsia="zh-CN"/>
        </w:rPr>
        <w:t xml:space="preserve"> Based on observations 1 to 5, we make the following proposals:</w:t>
      </w:r>
    </w:p>
    <w:p w:rsidR="00B95156" w:rsidRPr="006B0CFE" w:rsidRDefault="00B95156" w:rsidP="00DE2C0B">
      <w:pPr>
        <w:jc w:val="both"/>
        <w:rPr>
          <w:rFonts w:eastAsia="SimSun"/>
          <w:sz w:val="22"/>
          <w:lang w:eastAsia="zh-CN"/>
        </w:rPr>
      </w:pPr>
    </w:p>
    <w:p w:rsidR="007E573D" w:rsidRDefault="007E573D" w:rsidP="007E573D">
      <w:pPr>
        <w:jc w:val="both"/>
        <w:rPr>
          <w:b/>
          <w:sz w:val="22"/>
        </w:rPr>
      </w:pPr>
      <w:r w:rsidRPr="000013CB">
        <w:rPr>
          <w:b/>
          <w:sz w:val="22"/>
        </w:rPr>
        <w:t xml:space="preserve">Proposal </w:t>
      </w:r>
      <w:r>
        <w:rPr>
          <w:b/>
          <w:sz w:val="22"/>
        </w:rPr>
        <w:t>1: Further study the impact of LO leakage onto the SEM measurement procedure for the case of single carrier, uplink carrier aggregation and wideband operation.</w:t>
      </w:r>
    </w:p>
    <w:p w:rsidR="007E573D" w:rsidRDefault="007E573D" w:rsidP="007E573D">
      <w:pPr>
        <w:jc w:val="both"/>
        <w:rPr>
          <w:b/>
          <w:sz w:val="22"/>
        </w:rPr>
      </w:pPr>
    </w:p>
    <w:p w:rsidR="007E573D" w:rsidRPr="000013CB" w:rsidRDefault="007E573D" w:rsidP="007E573D">
      <w:pPr>
        <w:jc w:val="both"/>
        <w:rPr>
          <w:b/>
          <w:sz w:val="22"/>
        </w:rPr>
      </w:pPr>
      <w:r w:rsidRPr="000013CB">
        <w:rPr>
          <w:b/>
          <w:sz w:val="22"/>
        </w:rPr>
        <w:t xml:space="preserve">Proposal </w:t>
      </w:r>
      <w:r>
        <w:rPr>
          <w:b/>
          <w:sz w:val="22"/>
        </w:rPr>
        <w:t>2</w:t>
      </w:r>
      <w:r w:rsidRPr="000013CB">
        <w:rPr>
          <w:b/>
          <w:sz w:val="22"/>
        </w:rPr>
        <w:t xml:space="preserve"> on PC3 power class definition: </w:t>
      </w:r>
    </w:p>
    <w:p w:rsidR="007E573D" w:rsidRPr="000013CB" w:rsidRDefault="007E573D" w:rsidP="007E573D">
      <w:pPr>
        <w:pStyle w:val="ListParagraph"/>
        <w:numPr>
          <w:ilvl w:val="0"/>
          <w:numId w:val="40"/>
        </w:numPr>
        <w:ind w:firstLineChars="0" w:hanging="426"/>
        <w:jc w:val="both"/>
        <w:rPr>
          <w:rFonts w:ascii="Times New Roman" w:hAnsi="Times New Roman" w:cs="Times New Roman"/>
          <w:b/>
          <w:sz w:val="22"/>
        </w:rPr>
      </w:pPr>
      <w:r w:rsidRPr="000013CB">
        <w:rPr>
          <w:rFonts w:ascii="Times New Roman" w:eastAsia="Times New Roman" w:hAnsi="Times New Roman" w:cs="Times New Roman"/>
          <w:b/>
          <w:sz w:val="22"/>
          <w:lang w:eastAsia="en-US"/>
        </w:rPr>
        <w:t>PC3 ACLR is 30dB</w:t>
      </w:r>
      <w:r w:rsidR="00960C15">
        <w:rPr>
          <w:rFonts w:ascii="Times New Roman" w:eastAsia="Times New Roman" w:hAnsi="Times New Roman" w:cs="Times New Roman"/>
          <w:b/>
          <w:sz w:val="22"/>
          <w:lang w:eastAsia="en-US"/>
        </w:rPr>
        <w:t>; and</w:t>
      </w:r>
    </w:p>
    <w:p w:rsidR="007E573D" w:rsidRPr="000013CB" w:rsidRDefault="007E573D" w:rsidP="007E573D">
      <w:pPr>
        <w:pStyle w:val="ListParagraph"/>
        <w:numPr>
          <w:ilvl w:val="0"/>
          <w:numId w:val="40"/>
        </w:numPr>
        <w:ind w:firstLineChars="0" w:hanging="426"/>
        <w:jc w:val="both"/>
        <w:rPr>
          <w:rFonts w:ascii="Times New Roman" w:eastAsia="Times New Roman" w:hAnsi="Times New Roman" w:cs="Times New Roman"/>
          <w:b/>
          <w:sz w:val="22"/>
        </w:rPr>
      </w:pPr>
      <w:r w:rsidRPr="000013CB">
        <w:rPr>
          <w:rFonts w:ascii="Times New Roman" w:hAnsi="Times New Roman" w:cs="Times New Roman"/>
          <w:b/>
          <w:sz w:val="22"/>
        </w:rPr>
        <w:t>PC3 is defined at 23dBm +2</w:t>
      </w:r>
      <w:r w:rsidRPr="000013CB">
        <w:rPr>
          <w:rFonts w:ascii="Times New Roman" w:hAnsi="Times New Roman" w:cs="Times New Roman"/>
          <w:b/>
          <w:sz w:val="22"/>
          <w:lang w:val="en-CA"/>
        </w:rPr>
        <w:t>/-3dB with 1.5dB MPR for DFT-s-OFDM QPSK 20 MHz 100RB3 waveform</w:t>
      </w:r>
      <w:r w:rsidR="00960C15">
        <w:rPr>
          <w:rFonts w:ascii="Times New Roman" w:hAnsi="Times New Roman" w:cs="Times New Roman"/>
          <w:b/>
          <w:sz w:val="22"/>
          <w:lang w:val="en-CA"/>
        </w:rPr>
        <w:t>.</w:t>
      </w:r>
    </w:p>
    <w:p w:rsidR="007E573D" w:rsidRPr="000013CB" w:rsidRDefault="007E573D" w:rsidP="007E573D">
      <w:pPr>
        <w:pStyle w:val="ListParagraph"/>
        <w:ind w:firstLineChars="0" w:firstLine="0"/>
        <w:rPr>
          <w:rFonts w:ascii="Times New Roman" w:hAnsi="Times New Roman" w:cs="Times New Roman"/>
          <w:b/>
          <w:sz w:val="22"/>
          <w:szCs w:val="20"/>
        </w:rPr>
      </w:pPr>
    </w:p>
    <w:p w:rsidR="007E573D" w:rsidRPr="000013CB" w:rsidRDefault="007E573D" w:rsidP="007E573D">
      <w:pPr>
        <w:pStyle w:val="ListParagraph"/>
        <w:ind w:firstLineChars="0" w:firstLine="0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 xml:space="preserve">Proposal </w:t>
      </w:r>
      <w:r>
        <w:rPr>
          <w:rFonts w:ascii="Times New Roman" w:hAnsi="Times New Roman" w:cs="Times New Roman"/>
          <w:b/>
          <w:sz w:val="22"/>
          <w:szCs w:val="20"/>
        </w:rPr>
        <w:t>3</w:t>
      </w:r>
      <w:r w:rsidRPr="000013CB">
        <w:rPr>
          <w:rFonts w:ascii="Times New Roman" w:hAnsi="Times New Roman" w:cs="Times New Roman"/>
          <w:b/>
          <w:sz w:val="22"/>
          <w:szCs w:val="20"/>
        </w:rPr>
        <w:t xml:space="preserve"> on PC5 MPR:</w:t>
      </w:r>
    </w:p>
    <w:p w:rsidR="007E573D" w:rsidRPr="000013CB" w:rsidRDefault="007E573D" w:rsidP="007E573D">
      <w:pPr>
        <w:pStyle w:val="ListParagraph"/>
        <w:numPr>
          <w:ilvl w:val="0"/>
          <w:numId w:val="40"/>
        </w:numPr>
        <w:ind w:firstLineChars="0" w:hanging="426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>Separate MPR values for up to 20MHz channel bandwidth and above 20MHZ channel bandwidth are evaluated</w:t>
      </w:r>
      <w:r w:rsidR="00960C15">
        <w:rPr>
          <w:rFonts w:ascii="Times New Roman" w:hAnsi="Times New Roman" w:cs="Times New Roman"/>
          <w:b/>
          <w:sz w:val="22"/>
          <w:szCs w:val="20"/>
        </w:rPr>
        <w:t>;</w:t>
      </w:r>
    </w:p>
    <w:p w:rsidR="007E573D" w:rsidRPr="000013CB" w:rsidRDefault="007E573D" w:rsidP="007E573D">
      <w:pPr>
        <w:pStyle w:val="ListParagraph"/>
        <w:numPr>
          <w:ilvl w:val="0"/>
          <w:numId w:val="40"/>
        </w:numPr>
        <w:ind w:firstLineChars="0" w:hanging="426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>Separate MPR value are used for CP-OFDM and DFT-s-OFDM</w:t>
      </w:r>
      <w:r w:rsidR="00960C15">
        <w:rPr>
          <w:rFonts w:ascii="Times New Roman" w:hAnsi="Times New Roman" w:cs="Times New Roman"/>
          <w:b/>
          <w:sz w:val="22"/>
          <w:szCs w:val="20"/>
        </w:rPr>
        <w:t>; and</w:t>
      </w:r>
    </w:p>
    <w:p w:rsidR="007E573D" w:rsidRPr="000013CB" w:rsidRDefault="007E573D" w:rsidP="007E573D">
      <w:pPr>
        <w:pStyle w:val="ListParagraph"/>
        <w:numPr>
          <w:ilvl w:val="0"/>
          <w:numId w:val="40"/>
        </w:numPr>
        <w:ind w:firstLineChars="0" w:hanging="426"/>
        <w:rPr>
          <w:rFonts w:ascii="Times New Roman" w:hAnsi="Times New Roman" w:cs="Times New Roman"/>
          <w:b/>
          <w:sz w:val="22"/>
          <w:szCs w:val="20"/>
        </w:rPr>
      </w:pPr>
      <w:r w:rsidRPr="000013CB">
        <w:rPr>
          <w:rFonts w:ascii="Times New Roman" w:hAnsi="Times New Roman" w:cs="Times New Roman"/>
          <w:b/>
          <w:sz w:val="22"/>
          <w:szCs w:val="20"/>
        </w:rPr>
        <w:t>Values in Table 2 are used for defining CP-OFDM and DFT-s-OFDM QPSK MPR for fully allocated and interlaced waveforms</w:t>
      </w:r>
      <w:r w:rsidR="00960C15">
        <w:rPr>
          <w:rFonts w:ascii="Times New Roman" w:hAnsi="Times New Roman" w:cs="Times New Roman"/>
          <w:b/>
          <w:sz w:val="22"/>
          <w:szCs w:val="20"/>
        </w:rPr>
        <w:t>.</w:t>
      </w:r>
    </w:p>
    <w:p w:rsidR="002B0DC4" w:rsidRPr="006B0CFE" w:rsidRDefault="002B0DC4" w:rsidP="002B0DC4">
      <w:pPr>
        <w:pStyle w:val="Heading1"/>
        <w:rPr>
          <w:rFonts w:ascii="Times New Roman" w:hAnsi="Times New Roman"/>
        </w:rPr>
      </w:pPr>
      <w:r w:rsidRPr="006B0CFE">
        <w:rPr>
          <w:rFonts w:ascii="Times New Roman" w:hAnsi="Times New Roman"/>
        </w:rPr>
        <w:t>References</w:t>
      </w:r>
    </w:p>
    <w:p w:rsidR="00B652A2" w:rsidRPr="006B0CFE" w:rsidRDefault="002F1914" w:rsidP="00B652A2">
      <w:pPr>
        <w:contextualSpacing/>
        <w:rPr>
          <w:lang w:eastAsia="ja-JP"/>
        </w:rPr>
      </w:pPr>
      <w:r w:rsidRPr="006B0CFE">
        <w:rPr>
          <w:sz w:val="22"/>
        </w:rPr>
        <w:t>[1]</w:t>
      </w:r>
      <w:r w:rsidR="00B652A2" w:rsidRPr="006B0CFE">
        <w:rPr>
          <w:sz w:val="22"/>
        </w:rPr>
        <w:tab/>
      </w:r>
      <w:r w:rsidR="00B652A2" w:rsidRPr="006B0CFE">
        <w:rPr>
          <w:sz w:val="22"/>
        </w:rPr>
        <w:tab/>
      </w:r>
      <w:r w:rsidR="007C412E" w:rsidRPr="006B0CFE">
        <w:rPr>
          <w:lang w:eastAsia="ja-JP"/>
        </w:rPr>
        <w:t>R4-2005221</w:t>
      </w:r>
      <w:r w:rsidR="008F462B" w:rsidRPr="006B0CFE">
        <w:rPr>
          <w:lang w:eastAsia="ja-JP"/>
        </w:rPr>
        <w:t xml:space="preserve">, </w:t>
      </w:r>
      <w:r w:rsidR="007C412E" w:rsidRPr="006B0CFE">
        <w:rPr>
          <w:lang w:eastAsia="ja-JP"/>
        </w:rPr>
        <w:t>WF on NR-U UE Tx Requirement</w:t>
      </w:r>
      <w:r w:rsidR="008F462B" w:rsidRPr="006B0CFE">
        <w:rPr>
          <w:lang w:eastAsia="ja-JP"/>
        </w:rPr>
        <w:t xml:space="preserve">, </w:t>
      </w:r>
      <w:r w:rsidR="007C412E" w:rsidRPr="006B0CFE">
        <w:rPr>
          <w:lang w:eastAsia="ja-JP"/>
        </w:rPr>
        <w:t>Skyworks Solutions Inc, Nokia, Ericsson, [Qualcomm, Charter]</w:t>
      </w:r>
      <w:r w:rsidR="00290F72" w:rsidRPr="006B0CFE">
        <w:rPr>
          <w:lang w:eastAsia="ja-JP"/>
        </w:rPr>
        <w:t>, 3GPP TSG-RAN WG4 Meeting #94bis-e.</w:t>
      </w:r>
    </w:p>
    <w:p w:rsidR="007241C8" w:rsidRPr="006B0CFE" w:rsidRDefault="007241C8" w:rsidP="007241C8">
      <w:pPr>
        <w:contextualSpacing/>
        <w:rPr>
          <w:sz w:val="22"/>
        </w:rPr>
      </w:pPr>
    </w:p>
    <w:p w:rsidR="007241C8" w:rsidRPr="006B0CFE" w:rsidRDefault="007241C8" w:rsidP="00B652A2">
      <w:pPr>
        <w:contextualSpacing/>
        <w:rPr>
          <w:lang w:eastAsia="ja-JP"/>
        </w:rPr>
      </w:pPr>
      <w:r w:rsidRPr="006B0CFE">
        <w:rPr>
          <w:sz w:val="22"/>
        </w:rPr>
        <w:t>[2]</w:t>
      </w:r>
      <w:r w:rsidRPr="006B0CFE">
        <w:rPr>
          <w:sz w:val="22"/>
        </w:rPr>
        <w:tab/>
      </w:r>
      <w:r w:rsidRPr="006B0CFE">
        <w:rPr>
          <w:sz w:val="22"/>
        </w:rPr>
        <w:tab/>
      </w:r>
      <w:r w:rsidR="007F1C82" w:rsidRPr="006B0CFE">
        <w:rPr>
          <w:lang w:eastAsia="ja-JP"/>
        </w:rPr>
        <w:t>R4-2000708</w:t>
      </w:r>
      <w:r w:rsidRPr="006B0CFE">
        <w:rPr>
          <w:lang w:eastAsia="ja-JP"/>
        </w:rPr>
        <w:t>,</w:t>
      </w:r>
      <w:r w:rsidR="00290F72" w:rsidRPr="006B0CFE">
        <w:rPr>
          <w:lang w:eastAsia="ja-JP"/>
        </w:rPr>
        <w:t xml:space="preserve"> </w:t>
      </w:r>
      <w:r w:rsidR="006A5D31" w:rsidRPr="006B0CFE">
        <w:rPr>
          <w:lang w:eastAsia="ja-JP"/>
        </w:rPr>
        <w:t>[NRU] Single Carrier Back-off Measurements for UE Power Class and MPR</w:t>
      </w:r>
      <w:r w:rsidR="00290F72" w:rsidRPr="006B0CFE">
        <w:rPr>
          <w:lang w:eastAsia="ja-JP"/>
        </w:rPr>
        <w:t xml:space="preserve">, </w:t>
      </w:r>
      <w:r w:rsidR="006A5D31" w:rsidRPr="006B0CFE">
        <w:rPr>
          <w:lang w:eastAsia="ja-JP"/>
        </w:rPr>
        <w:t>Skyworks Solutions, Inc.</w:t>
      </w:r>
      <w:r w:rsidR="00290F72" w:rsidRPr="006B0CFE">
        <w:rPr>
          <w:lang w:eastAsia="ja-JP"/>
        </w:rPr>
        <w:t>, 3GPP TSG-RAN WG4 Meeting #94-e-Bis.</w:t>
      </w:r>
    </w:p>
    <w:p w:rsidR="006A5D31" w:rsidRPr="006B0CFE" w:rsidRDefault="006A5D31" w:rsidP="00B652A2">
      <w:pPr>
        <w:contextualSpacing/>
        <w:rPr>
          <w:rFonts w:eastAsia="PMingLiU"/>
          <w:lang w:eastAsia="zh-TW"/>
        </w:rPr>
      </w:pPr>
    </w:p>
    <w:p w:rsidR="006A5D31" w:rsidRPr="006B0CFE" w:rsidRDefault="006A5D31" w:rsidP="006A5D31">
      <w:pPr>
        <w:contextualSpacing/>
        <w:rPr>
          <w:lang w:eastAsia="ja-JP"/>
        </w:rPr>
      </w:pPr>
      <w:r w:rsidRPr="006B0CFE">
        <w:rPr>
          <w:rFonts w:eastAsia="PMingLiU"/>
          <w:lang w:eastAsia="zh-TW"/>
        </w:rPr>
        <w:t>[3]</w:t>
      </w:r>
      <w:r w:rsidRPr="006B0CFE">
        <w:rPr>
          <w:lang w:eastAsia="ja-JP"/>
        </w:rPr>
        <w:t xml:space="preserve"> </w:t>
      </w:r>
      <w:r w:rsidRPr="006B0CFE">
        <w:rPr>
          <w:lang w:eastAsia="ja-JP"/>
        </w:rPr>
        <w:tab/>
        <w:t>R4-2000709, [NRU] Wideband Operation Back-off Measurements for UE, Skyworks Solutions, Inc., 3GPP TSG-RAN WG4 Meeting #94-e-Bis.</w:t>
      </w:r>
    </w:p>
    <w:p w:rsidR="001F170F" w:rsidRPr="006B0CFE" w:rsidRDefault="001F170F" w:rsidP="006A5D31">
      <w:pPr>
        <w:contextualSpacing/>
        <w:rPr>
          <w:lang w:eastAsia="ja-JP"/>
        </w:rPr>
      </w:pPr>
    </w:p>
    <w:p w:rsidR="001F170F" w:rsidRPr="006B0CFE" w:rsidRDefault="001F170F" w:rsidP="001F170F">
      <w:pPr>
        <w:contextualSpacing/>
        <w:rPr>
          <w:lang w:eastAsia="ja-JP"/>
        </w:rPr>
      </w:pPr>
      <w:r w:rsidRPr="006B0CFE">
        <w:rPr>
          <w:rFonts w:eastAsia="PMingLiU"/>
          <w:lang w:eastAsia="zh-TW"/>
        </w:rPr>
        <w:lastRenderedPageBreak/>
        <w:t>[4]</w:t>
      </w:r>
      <w:r w:rsidRPr="006B0CFE">
        <w:rPr>
          <w:lang w:eastAsia="ja-JP"/>
        </w:rPr>
        <w:t xml:space="preserve"> </w:t>
      </w:r>
      <w:r w:rsidRPr="006B0CFE">
        <w:rPr>
          <w:lang w:eastAsia="ja-JP"/>
        </w:rPr>
        <w:tab/>
        <w:t>R4-2004232, NR-U - Spectral Emission Mask, Nokia, Nokia Shanghai Bell, 3GPP TSG-RAN WG4 Meeting #94-e-Bis.</w:t>
      </w:r>
    </w:p>
    <w:p w:rsidR="001F170F" w:rsidRPr="006B0CFE" w:rsidRDefault="001F170F" w:rsidP="006A5D31">
      <w:pPr>
        <w:contextualSpacing/>
        <w:rPr>
          <w:lang w:eastAsia="ja-JP"/>
        </w:rPr>
      </w:pPr>
    </w:p>
    <w:p w:rsidR="006A5D31" w:rsidRPr="006B0CFE" w:rsidRDefault="006A5D31" w:rsidP="00B652A2">
      <w:pPr>
        <w:contextualSpacing/>
        <w:rPr>
          <w:rFonts w:eastAsia="PMingLiU"/>
          <w:lang w:eastAsia="zh-TW"/>
        </w:rPr>
      </w:pPr>
    </w:p>
    <w:p w:rsidR="002F1914" w:rsidRPr="006B0CFE" w:rsidRDefault="002F1914" w:rsidP="002F1914">
      <w:pPr>
        <w:jc w:val="both"/>
        <w:rPr>
          <w:rFonts w:eastAsia="SimSun"/>
          <w:lang w:eastAsia="zh-CN"/>
        </w:rPr>
      </w:pPr>
    </w:p>
    <w:sectPr w:rsidR="002F1914" w:rsidRPr="006B0CFE" w:rsidSect="00D06FAD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7F65" w:rsidRDefault="005F7F65">
      <w:r>
        <w:separator/>
      </w:r>
    </w:p>
  </w:endnote>
  <w:endnote w:type="continuationSeparator" w:id="0">
    <w:p w:rsidR="005F7F65" w:rsidRDefault="005F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0E54" w:rsidRDefault="00B50E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7F65" w:rsidRDefault="005F7F65">
      <w:r>
        <w:separator/>
      </w:r>
    </w:p>
  </w:footnote>
  <w:footnote w:type="continuationSeparator" w:id="0">
    <w:p w:rsidR="005F7F65" w:rsidRDefault="005F7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2948"/>
    <w:multiLevelType w:val="hybridMultilevel"/>
    <w:tmpl w:val="E31E7CD0"/>
    <w:lvl w:ilvl="0" w:tplc="65421D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24322"/>
    <w:multiLevelType w:val="hybridMultilevel"/>
    <w:tmpl w:val="43DCA884"/>
    <w:lvl w:ilvl="0" w:tplc="BEC07968">
      <w:start w:val="2"/>
      <w:numFmt w:val="bullet"/>
      <w:lvlText w:val="-"/>
      <w:lvlJc w:val="left"/>
      <w:pPr>
        <w:ind w:left="1004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B06D1"/>
    <w:multiLevelType w:val="hybridMultilevel"/>
    <w:tmpl w:val="4F7E1460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81326"/>
    <w:multiLevelType w:val="hybridMultilevel"/>
    <w:tmpl w:val="884C6944"/>
    <w:lvl w:ilvl="0" w:tplc="BEC07968">
      <w:start w:val="2"/>
      <w:numFmt w:val="bullet"/>
      <w:lvlText w:val="-"/>
      <w:lvlJc w:val="left"/>
      <w:pPr>
        <w:ind w:left="827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83C0D"/>
    <w:multiLevelType w:val="hybridMultilevel"/>
    <w:tmpl w:val="E8081098"/>
    <w:lvl w:ilvl="0" w:tplc="65421D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25C770CA"/>
    <w:multiLevelType w:val="hybridMultilevel"/>
    <w:tmpl w:val="DD209D5E"/>
    <w:lvl w:ilvl="0" w:tplc="04090001">
      <w:start w:val="1"/>
      <w:numFmt w:val="bullet"/>
      <w:lvlText w:val=""/>
      <w:lvlJc w:val="left"/>
      <w:pPr>
        <w:ind w:left="5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5569B"/>
    <w:multiLevelType w:val="hybridMultilevel"/>
    <w:tmpl w:val="627C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 w15:restartNumberingAfterBreak="0">
    <w:nsid w:val="3BB41A34"/>
    <w:multiLevelType w:val="hybridMultilevel"/>
    <w:tmpl w:val="C5387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5FCF4702"/>
    <w:multiLevelType w:val="hybridMultilevel"/>
    <w:tmpl w:val="B3ECF7F2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04E7A"/>
    <w:multiLevelType w:val="hybridMultilevel"/>
    <w:tmpl w:val="E5487A4E"/>
    <w:lvl w:ilvl="0" w:tplc="BEC07968">
      <w:start w:val="2"/>
      <w:numFmt w:val="bullet"/>
      <w:lvlText w:val="-"/>
      <w:lvlJc w:val="left"/>
      <w:pPr>
        <w:ind w:left="1004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E1311E"/>
    <w:multiLevelType w:val="hybridMultilevel"/>
    <w:tmpl w:val="888A95D8"/>
    <w:lvl w:ilvl="0" w:tplc="65421DCC">
      <w:start w:val="5"/>
      <w:numFmt w:val="bullet"/>
      <w:lvlText w:val="-"/>
      <w:lvlJc w:val="left"/>
      <w:pPr>
        <w:ind w:left="8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9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30515C"/>
    <w:multiLevelType w:val="hybridMultilevel"/>
    <w:tmpl w:val="F4E475E0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A224265"/>
    <w:multiLevelType w:val="hybridMultilevel"/>
    <w:tmpl w:val="D5221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A5A78"/>
    <w:multiLevelType w:val="hybridMultilevel"/>
    <w:tmpl w:val="CE1219D0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8"/>
  </w:num>
  <w:num w:numId="3">
    <w:abstractNumId w:val="14"/>
  </w:num>
  <w:num w:numId="4">
    <w:abstractNumId w:val="17"/>
  </w:num>
  <w:num w:numId="5">
    <w:abstractNumId w:val="35"/>
  </w:num>
  <w:num w:numId="6">
    <w:abstractNumId w:val="10"/>
  </w:num>
  <w:num w:numId="7">
    <w:abstractNumId w:val="5"/>
  </w:num>
  <w:num w:numId="8">
    <w:abstractNumId w:val="21"/>
  </w:num>
  <w:num w:numId="9">
    <w:abstractNumId w:val="13"/>
  </w:num>
  <w:num w:numId="10">
    <w:abstractNumId w:val="32"/>
  </w:num>
  <w:num w:numId="11">
    <w:abstractNumId w:val="36"/>
  </w:num>
  <w:num w:numId="12">
    <w:abstractNumId w:val="23"/>
  </w:num>
  <w:num w:numId="13">
    <w:abstractNumId w:val="38"/>
  </w:num>
  <w:num w:numId="14">
    <w:abstractNumId w:val="15"/>
  </w:num>
  <w:num w:numId="15">
    <w:abstractNumId w:val="31"/>
  </w:num>
  <w:num w:numId="16">
    <w:abstractNumId w:val="26"/>
  </w:num>
  <w:num w:numId="17">
    <w:abstractNumId w:val="11"/>
  </w:num>
  <w:num w:numId="18">
    <w:abstractNumId w:val="7"/>
  </w:num>
  <w:num w:numId="19">
    <w:abstractNumId w:val="30"/>
  </w:num>
  <w:num w:numId="20">
    <w:abstractNumId w:val="18"/>
  </w:num>
  <w:num w:numId="21">
    <w:abstractNumId w:val="25"/>
  </w:num>
  <w:num w:numId="22">
    <w:abstractNumId w:val="20"/>
  </w:num>
  <w:num w:numId="23">
    <w:abstractNumId w:val="19"/>
  </w:num>
  <w:num w:numId="24">
    <w:abstractNumId w:val="29"/>
  </w:num>
  <w:num w:numId="25">
    <w:abstractNumId w:val="22"/>
  </w:num>
  <w:num w:numId="26">
    <w:abstractNumId w:val="2"/>
  </w:num>
  <w:num w:numId="27">
    <w:abstractNumId w:val="28"/>
  </w:num>
  <w:num w:numId="28">
    <w:abstractNumId w:val="6"/>
  </w:num>
  <w:num w:numId="29">
    <w:abstractNumId w:val="0"/>
  </w:num>
  <w:num w:numId="30">
    <w:abstractNumId w:val="1"/>
  </w:num>
  <w:num w:numId="31">
    <w:abstractNumId w:val="39"/>
  </w:num>
  <w:num w:numId="32">
    <w:abstractNumId w:val="12"/>
  </w:num>
  <w:num w:numId="33">
    <w:abstractNumId w:val="34"/>
  </w:num>
  <w:num w:numId="34">
    <w:abstractNumId w:val="24"/>
  </w:num>
  <w:num w:numId="35">
    <w:abstractNumId w:val="4"/>
  </w:num>
  <w:num w:numId="36">
    <w:abstractNumId w:val="3"/>
  </w:num>
  <w:num w:numId="37">
    <w:abstractNumId w:val="27"/>
  </w:num>
  <w:num w:numId="38">
    <w:abstractNumId w:val="16"/>
  </w:num>
  <w:num w:numId="39">
    <w:abstractNumId w:val="37"/>
  </w:num>
  <w:num w:numId="40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13CB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DD4"/>
    <w:rsid w:val="00023F5A"/>
    <w:rsid w:val="00024318"/>
    <w:rsid w:val="0002475A"/>
    <w:rsid w:val="00026904"/>
    <w:rsid w:val="00026A59"/>
    <w:rsid w:val="00026F5D"/>
    <w:rsid w:val="00031165"/>
    <w:rsid w:val="000315B9"/>
    <w:rsid w:val="00031CC0"/>
    <w:rsid w:val="000323EF"/>
    <w:rsid w:val="00032561"/>
    <w:rsid w:val="000326E2"/>
    <w:rsid w:val="00033A4B"/>
    <w:rsid w:val="00033F47"/>
    <w:rsid w:val="00034F28"/>
    <w:rsid w:val="0003564D"/>
    <w:rsid w:val="000368DA"/>
    <w:rsid w:val="000402AB"/>
    <w:rsid w:val="00040845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61DE"/>
    <w:rsid w:val="000765F3"/>
    <w:rsid w:val="00077F33"/>
    <w:rsid w:val="00080C3A"/>
    <w:rsid w:val="000810CC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4B3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55A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413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0529"/>
    <w:rsid w:val="00151161"/>
    <w:rsid w:val="0015196F"/>
    <w:rsid w:val="00151A13"/>
    <w:rsid w:val="00152BC7"/>
    <w:rsid w:val="00153E23"/>
    <w:rsid w:val="001544AE"/>
    <w:rsid w:val="00156FA1"/>
    <w:rsid w:val="0015714C"/>
    <w:rsid w:val="0015758A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426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5"/>
    <w:rsid w:val="001D4155"/>
    <w:rsid w:val="001D4266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0F42"/>
    <w:rsid w:val="001F1161"/>
    <w:rsid w:val="001F170F"/>
    <w:rsid w:val="001F193C"/>
    <w:rsid w:val="001F1E6B"/>
    <w:rsid w:val="001F2087"/>
    <w:rsid w:val="001F27B2"/>
    <w:rsid w:val="001F30BA"/>
    <w:rsid w:val="001F341A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3E2F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4F31"/>
    <w:rsid w:val="00286207"/>
    <w:rsid w:val="002863D5"/>
    <w:rsid w:val="00286658"/>
    <w:rsid w:val="00286777"/>
    <w:rsid w:val="0028694F"/>
    <w:rsid w:val="002870EC"/>
    <w:rsid w:val="00290F72"/>
    <w:rsid w:val="002913B8"/>
    <w:rsid w:val="002914A7"/>
    <w:rsid w:val="00291516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AA0"/>
    <w:rsid w:val="002B0DC4"/>
    <w:rsid w:val="002B1F8F"/>
    <w:rsid w:val="002B2455"/>
    <w:rsid w:val="002B45AA"/>
    <w:rsid w:val="002B5B27"/>
    <w:rsid w:val="002B6BCD"/>
    <w:rsid w:val="002B7B57"/>
    <w:rsid w:val="002C01E3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554"/>
    <w:rsid w:val="003157EA"/>
    <w:rsid w:val="00316E2C"/>
    <w:rsid w:val="003175E8"/>
    <w:rsid w:val="00320709"/>
    <w:rsid w:val="00320B8D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3231"/>
    <w:rsid w:val="003442B0"/>
    <w:rsid w:val="003450B6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F56"/>
    <w:rsid w:val="003B2249"/>
    <w:rsid w:val="003B2FD4"/>
    <w:rsid w:val="003B37B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1D89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70B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6773D"/>
    <w:rsid w:val="00471190"/>
    <w:rsid w:val="004711EF"/>
    <w:rsid w:val="00472760"/>
    <w:rsid w:val="00473001"/>
    <w:rsid w:val="00473A29"/>
    <w:rsid w:val="0047518D"/>
    <w:rsid w:val="0047795F"/>
    <w:rsid w:val="004811A9"/>
    <w:rsid w:val="004819D9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FA2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3593"/>
    <w:rsid w:val="004B3B23"/>
    <w:rsid w:val="004B425D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B20"/>
    <w:rsid w:val="00556607"/>
    <w:rsid w:val="00556D0C"/>
    <w:rsid w:val="00556E2F"/>
    <w:rsid w:val="00556EF2"/>
    <w:rsid w:val="00557332"/>
    <w:rsid w:val="005576C1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532E"/>
    <w:rsid w:val="005854E4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79E8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BF5"/>
    <w:rsid w:val="005F6E26"/>
    <w:rsid w:val="005F7F65"/>
    <w:rsid w:val="006000FF"/>
    <w:rsid w:val="006010A4"/>
    <w:rsid w:val="00601ED5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2D0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8A5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5D31"/>
    <w:rsid w:val="006A60DA"/>
    <w:rsid w:val="006A7175"/>
    <w:rsid w:val="006A7836"/>
    <w:rsid w:val="006B01F3"/>
    <w:rsid w:val="006B06D5"/>
    <w:rsid w:val="006B0CFE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D0DAB"/>
    <w:rsid w:val="006D1AB2"/>
    <w:rsid w:val="006D239C"/>
    <w:rsid w:val="006D25C7"/>
    <w:rsid w:val="006D31C3"/>
    <w:rsid w:val="006D408E"/>
    <w:rsid w:val="006D69F9"/>
    <w:rsid w:val="006D7219"/>
    <w:rsid w:val="006E02FC"/>
    <w:rsid w:val="006E0CC1"/>
    <w:rsid w:val="006E0CCB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5F04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86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877"/>
    <w:rsid w:val="007C2D23"/>
    <w:rsid w:val="007C412E"/>
    <w:rsid w:val="007C4526"/>
    <w:rsid w:val="007C53D3"/>
    <w:rsid w:val="007C5C32"/>
    <w:rsid w:val="007C5CF0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73D"/>
    <w:rsid w:val="007E5F5F"/>
    <w:rsid w:val="007E66C3"/>
    <w:rsid w:val="007E6E66"/>
    <w:rsid w:val="007E7153"/>
    <w:rsid w:val="007E72E2"/>
    <w:rsid w:val="007E7858"/>
    <w:rsid w:val="007F0DB7"/>
    <w:rsid w:val="007F1254"/>
    <w:rsid w:val="007F1C8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500"/>
    <w:rsid w:val="00880AC6"/>
    <w:rsid w:val="00880EA1"/>
    <w:rsid w:val="00881284"/>
    <w:rsid w:val="0088160F"/>
    <w:rsid w:val="00881741"/>
    <w:rsid w:val="00881C82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6B5B"/>
    <w:rsid w:val="008D6BE5"/>
    <w:rsid w:val="008D7410"/>
    <w:rsid w:val="008E01A1"/>
    <w:rsid w:val="008E01E5"/>
    <w:rsid w:val="008E07B3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AD"/>
    <w:rsid w:val="00904B78"/>
    <w:rsid w:val="009051EF"/>
    <w:rsid w:val="009055DC"/>
    <w:rsid w:val="00906467"/>
    <w:rsid w:val="00906E43"/>
    <w:rsid w:val="00910207"/>
    <w:rsid w:val="009109BC"/>
    <w:rsid w:val="009112E8"/>
    <w:rsid w:val="00911A11"/>
    <w:rsid w:val="00911ECC"/>
    <w:rsid w:val="00912326"/>
    <w:rsid w:val="00912472"/>
    <w:rsid w:val="0091369A"/>
    <w:rsid w:val="00913BC7"/>
    <w:rsid w:val="009142E9"/>
    <w:rsid w:val="009145CC"/>
    <w:rsid w:val="00915129"/>
    <w:rsid w:val="0091598F"/>
    <w:rsid w:val="00915CA1"/>
    <w:rsid w:val="009160D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EBD"/>
    <w:rsid w:val="0095234C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0C15"/>
    <w:rsid w:val="0096101D"/>
    <w:rsid w:val="00961895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84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9E3"/>
    <w:rsid w:val="009F6D75"/>
    <w:rsid w:val="009F71DE"/>
    <w:rsid w:val="009F77F9"/>
    <w:rsid w:val="009F795D"/>
    <w:rsid w:val="009F7D42"/>
    <w:rsid w:val="00A00133"/>
    <w:rsid w:val="00A00639"/>
    <w:rsid w:val="00A00800"/>
    <w:rsid w:val="00A00B3D"/>
    <w:rsid w:val="00A01457"/>
    <w:rsid w:val="00A017F2"/>
    <w:rsid w:val="00A02434"/>
    <w:rsid w:val="00A03D4B"/>
    <w:rsid w:val="00A03E82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2CF"/>
    <w:rsid w:val="00A67969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1E5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0FA3"/>
    <w:rsid w:val="00AA14C6"/>
    <w:rsid w:val="00AA1544"/>
    <w:rsid w:val="00AA15F0"/>
    <w:rsid w:val="00AA1618"/>
    <w:rsid w:val="00AA1AE4"/>
    <w:rsid w:val="00AA202C"/>
    <w:rsid w:val="00AA26B5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42A"/>
    <w:rsid w:val="00AD3782"/>
    <w:rsid w:val="00AD3819"/>
    <w:rsid w:val="00AD39D7"/>
    <w:rsid w:val="00AD57DD"/>
    <w:rsid w:val="00AD6249"/>
    <w:rsid w:val="00AD6743"/>
    <w:rsid w:val="00AE04D1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6CF"/>
    <w:rsid w:val="00B03C3F"/>
    <w:rsid w:val="00B04A98"/>
    <w:rsid w:val="00B04ED1"/>
    <w:rsid w:val="00B061BA"/>
    <w:rsid w:val="00B0658C"/>
    <w:rsid w:val="00B07493"/>
    <w:rsid w:val="00B07565"/>
    <w:rsid w:val="00B100C4"/>
    <w:rsid w:val="00B10472"/>
    <w:rsid w:val="00B10641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1B5"/>
    <w:rsid w:val="00B41B72"/>
    <w:rsid w:val="00B4257B"/>
    <w:rsid w:val="00B43516"/>
    <w:rsid w:val="00B43EC2"/>
    <w:rsid w:val="00B444DF"/>
    <w:rsid w:val="00B45794"/>
    <w:rsid w:val="00B458DE"/>
    <w:rsid w:val="00B45D07"/>
    <w:rsid w:val="00B46D69"/>
    <w:rsid w:val="00B470EF"/>
    <w:rsid w:val="00B47509"/>
    <w:rsid w:val="00B50805"/>
    <w:rsid w:val="00B50A30"/>
    <w:rsid w:val="00B50E54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F77"/>
    <w:rsid w:val="00B660FB"/>
    <w:rsid w:val="00B663F5"/>
    <w:rsid w:val="00B666BC"/>
    <w:rsid w:val="00B7016C"/>
    <w:rsid w:val="00B70903"/>
    <w:rsid w:val="00B72507"/>
    <w:rsid w:val="00B72EDE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9129A"/>
    <w:rsid w:val="00B91DDC"/>
    <w:rsid w:val="00B925D4"/>
    <w:rsid w:val="00B929CC"/>
    <w:rsid w:val="00B93746"/>
    <w:rsid w:val="00B93BDA"/>
    <w:rsid w:val="00B93C88"/>
    <w:rsid w:val="00B94204"/>
    <w:rsid w:val="00B9429D"/>
    <w:rsid w:val="00B95156"/>
    <w:rsid w:val="00B958D8"/>
    <w:rsid w:val="00B95E0B"/>
    <w:rsid w:val="00B973B5"/>
    <w:rsid w:val="00B97422"/>
    <w:rsid w:val="00BA105E"/>
    <w:rsid w:val="00BA16C8"/>
    <w:rsid w:val="00BA22AA"/>
    <w:rsid w:val="00BA27FC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0CC2"/>
    <w:rsid w:val="00BD10F6"/>
    <w:rsid w:val="00BD1FC7"/>
    <w:rsid w:val="00BD2087"/>
    <w:rsid w:val="00BD2272"/>
    <w:rsid w:val="00BD2345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E65"/>
    <w:rsid w:val="00BE7F5C"/>
    <w:rsid w:val="00BF045F"/>
    <w:rsid w:val="00BF18C7"/>
    <w:rsid w:val="00BF2A5A"/>
    <w:rsid w:val="00BF3052"/>
    <w:rsid w:val="00BF3DD1"/>
    <w:rsid w:val="00BF5343"/>
    <w:rsid w:val="00BF5534"/>
    <w:rsid w:val="00BF6B8A"/>
    <w:rsid w:val="00BF7768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E2"/>
    <w:rsid w:val="00C46D24"/>
    <w:rsid w:val="00C47682"/>
    <w:rsid w:val="00C477DC"/>
    <w:rsid w:val="00C50ED7"/>
    <w:rsid w:val="00C51773"/>
    <w:rsid w:val="00C51D95"/>
    <w:rsid w:val="00C520C5"/>
    <w:rsid w:val="00C525C7"/>
    <w:rsid w:val="00C52639"/>
    <w:rsid w:val="00C52C0D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DC3"/>
    <w:rsid w:val="00CB2685"/>
    <w:rsid w:val="00CB311F"/>
    <w:rsid w:val="00CB3F83"/>
    <w:rsid w:val="00CB4769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81C"/>
    <w:rsid w:val="00CF692C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73B"/>
    <w:rsid w:val="00D17D95"/>
    <w:rsid w:val="00D218A0"/>
    <w:rsid w:val="00D231ED"/>
    <w:rsid w:val="00D23C52"/>
    <w:rsid w:val="00D243F7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261"/>
    <w:rsid w:val="00D6782A"/>
    <w:rsid w:val="00D70917"/>
    <w:rsid w:val="00D70D46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C0B"/>
    <w:rsid w:val="00DE2DD3"/>
    <w:rsid w:val="00DE2F8F"/>
    <w:rsid w:val="00DE39B6"/>
    <w:rsid w:val="00DE3F1E"/>
    <w:rsid w:val="00DE453A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BC5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2B1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6373"/>
    <w:rsid w:val="00ED154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7F"/>
    <w:rsid w:val="00F2645C"/>
    <w:rsid w:val="00F26B4E"/>
    <w:rsid w:val="00F3100B"/>
    <w:rsid w:val="00F3148E"/>
    <w:rsid w:val="00F31D3C"/>
    <w:rsid w:val="00F32D9E"/>
    <w:rsid w:val="00F33320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470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45A"/>
    <w:rsid w:val="00FE25A2"/>
    <w:rsid w:val="00FE3F17"/>
    <w:rsid w:val="00FE4A80"/>
    <w:rsid w:val="00FE5462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  <w:rsid w:val="00FF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7CA25E-E05C-43F8-8BA7-D17F50F35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EE0"/>
    <w:rPr>
      <w:rFonts w:eastAsia="Times New Roman"/>
      <w:sz w:val="24"/>
      <w:szCs w:val="24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B426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426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uiPriority w:val="39"/>
    <w:rsid w:val="009B4262"/>
    <w:pPr>
      <w:ind w:left="1418" w:hanging="1418"/>
    </w:pPr>
  </w:style>
  <w:style w:type="paragraph" w:styleId="TOC8">
    <w:name w:val="toc 8"/>
    <w:basedOn w:val="TOC1"/>
    <w:uiPriority w:val="39"/>
    <w:rsid w:val="009B426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B4262"/>
    <w:pPr>
      <w:ind w:left="1701" w:hanging="1701"/>
    </w:pPr>
  </w:style>
  <w:style w:type="paragraph" w:styleId="TOC4">
    <w:name w:val="toc 4"/>
    <w:basedOn w:val="TOC3"/>
    <w:uiPriority w:val="39"/>
    <w:rsid w:val="009B4262"/>
    <w:pPr>
      <w:ind w:left="1418" w:hanging="1418"/>
    </w:pPr>
  </w:style>
  <w:style w:type="paragraph" w:styleId="TOC3">
    <w:name w:val="toc 3"/>
    <w:basedOn w:val="TOC2"/>
    <w:uiPriority w:val="39"/>
    <w:rsid w:val="009B4262"/>
    <w:pPr>
      <w:ind w:left="1134" w:hanging="1134"/>
    </w:pPr>
  </w:style>
  <w:style w:type="paragraph" w:styleId="TOC2">
    <w:name w:val="toc 2"/>
    <w:basedOn w:val="TOC1"/>
    <w:uiPriority w:val="39"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rsid w:val="009B4262"/>
    <w:pPr>
      <w:ind w:left="284"/>
    </w:pPr>
  </w:style>
  <w:style w:type="paragraph" w:customStyle="1" w:styleId="TT">
    <w:name w:val="TT"/>
    <w:basedOn w:val="Heading1"/>
    <w:next w:val="Normal"/>
    <w:rsid w:val="009B4262"/>
    <w:pPr>
      <w:outlineLvl w:val="9"/>
    </w:pPr>
  </w:style>
  <w:style w:type="paragraph" w:styleId="Footer">
    <w:name w:val="footer"/>
    <w:basedOn w:val="Header"/>
    <w:link w:val="FooterChar"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9B4262"/>
    <w:pPr>
      <w:ind w:left="851"/>
    </w:pPr>
  </w:style>
  <w:style w:type="paragraph" w:styleId="ListNumber">
    <w:name w:val="List Number"/>
    <w:basedOn w:val="List"/>
    <w:rsid w:val="009B4262"/>
  </w:style>
  <w:style w:type="paragraph" w:styleId="List">
    <w:name w:val="List"/>
    <w:basedOn w:val="Normal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TOC6">
    <w:name w:val="toc 6"/>
    <w:basedOn w:val="TOC5"/>
    <w:next w:val="Normal"/>
    <w:uiPriority w:val="39"/>
    <w:rsid w:val="009B4262"/>
    <w:pPr>
      <w:ind w:left="1985" w:hanging="1985"/>
    </w:pPr>
  </w:style>
  <w:style w:type="paragraph" w:styleId="TOC7">
    <w:name w:val="toc 7"/>
    <w:basedOn w:val="TOC6"/>
    <w:next w:val="Normal"/>
    <w:uiPriority w:val="39"/>
    <w:rsid w:val="009B4262"/>
    <w:pPr>
      <w:ind w:left="2268" w:hanging="2268"/>
    </w:pPr>
  </w:style>
  <w:style w:type="paragraph" w:styleId="ListBullet2">
    <w:name w:val="List Bullet 2"/>
    <w:basedOn w:val="ListBullet"/>
    <w:link w:val="ListBullet2Char"/>
    <w:rsid w:val="009B4262"/>
    <w:pPr>
      <w:ind w:left="851"/>
    </w:pPr>
  </w:style>
  <w:style w:type="paragraph" w:styleId="ListBullet">
    <w:name w:val="List Bullet"/>
    <w:basedOn w:val="List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9B4262"/>
    <w:pPr>
      <w:ind w:left="1135"/>
    </w:pPr>
  </w:style>
  <w:style w:type="paragraph" w:styleId="List2">
    <w:name w:val="List 2"/>
    <w:basedOn w:val="List"/>
    <w:rsid w:val="009B4262"/>
    <w:pPr>
      <w:ind w:left="851"/>
    </w:pPr>
  </w:style>
  <w:style w:type="paragraph" w:styleId="List3">
    <w:name w:val="List 3"/>
    <w:basedOn w:val="List2"/>
    <w:rsid w:val="009B4262"/>
    <w:pPr>
      <w:ind w:left="1135"/>
    </w:pPr>
  </w:style>
  <w:style w:type="paragraph" w:styleId="List4">
    <w:name w:val="List 4"/>
    <w:basedOn w:val="List3"/>
    <w:rsid w:val="009B4262"/>
    <w:pPr>
      <w:ind w:left="1418"/>
    </w:pPr>
  </w:style>
  <w:style w:type="paragraph" w:styleId="List5">
    <w:name w:val="List 5"/>
    <w:basedOn w:val="List4"/>
    <w:rsid w:val="009B4262"/>
    <w:pPr>
      <w:ind w:left="1702"/>
    </w:pPr>
  </w:style>
  <w:style w:type="paragraph" w:styleId="ListBullet4">
    <w:name w:val="List Bullet 4"/>
    <w:basedOn w:val="ListBullet3"/>
    <w:rsid w:val="009B4262"/>
    <w:pPr>
      <w:ind w:left="1418"/>
    </w:pPr>
  </w:style>
  <w:style w:type="paragraph" w:styleId="ListBullet5">
    <w:name w:val="List Bullet 5"/>
    <w:basedOn w:val="ListBullet4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uiPriority w:val="99"/>
    <w:rsid w:val="00F1227B"/>
    <w:rPr>
      <w:lang w:val="en-GB" w:eastAsia="en-GB"/>
    </w:rPr>
  </w:style>
  <w:style w:type="paragraph" w:styleId="BodyTextIndent">
    <w:name w:val="Body Text Indent"/>
    <w:basedOn w:val="Normal"/>
    <w:link w:val="BodyTextIndentChar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ListParagraph">
    <w:name w:val="List Paragraph"/>
    <w:basedOn w:val="Normal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Normal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List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Normal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List2"/>
    <w:link w:val="B2Char"/>
    <w:qFormat/>
    <w:rsid w:val="0055211D"/>
    <w:rPr>
      <w:lang w:eastAsia="ko-KR"/>
    </w:rPr>
  </w:style>
  <w:style w:type="paragraph" w:customStyle="1" w:styleId="B30">
    <w:name w:val="B3"/>
    <w:basedOn w:val="List3"/>
    <w:link w:val="B3Char2"/>
    <w:rsid w:val="0055211D"/>
    <w:rPr>
      <w:lang w:eastAsia="ko-KR"/>
    </w:rPr>
  </w:style>
  <w:style w:type="paragraph" w:customStyle="1" w:styleId="B4">
    <w:name w:val="B4"/>
    <w:basedOn w:val="List4"/>
    <w:link w:val="B4Char"/>
    <w:rsid w:val="0055211D"/>
    <w:rPr>
      <w:lang w:eastAsia="ko-KR"/>
    </w:rPr>
  </w:style>
  <w:style w:type="paragraph" w:customStyle="1" w:styleId="B5">
    <w:name w:val="B5"/>
    <w:basedOn w:val="List5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Normal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5211D"/>
    <w:rPr>
      <w:rFonts w:ascii="Arial" w:eastAsia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55211D"/>
    <w:rPr>
      <w:smallCaps/>
      <w:color w:val="5A5A5A"/>
    </w:rPr>
  </w:style>
  <w:style w:type="character" w:customStyle="1" w:styleId="BalloonTextChar">
    <w:name w:val="Balloon Text Char"/>
    <w:link w:val="BalloonText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BodyTextIndent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BodyTextIndentChar">
    <w:name w:val="Body Text Indent Char"/>
    <w:link w:val="BodyTextIndent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DocumentMapChar">
    <w:name w:val="Document Map Char"/>
    <w:link w:val="DocumentMap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Normal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Normal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Normal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Normal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Normal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Revision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211D"/>
  </w:style>
  <w:style w:type="character" w:customStyle="1" w:styleId="Heading6Char">
    <w:name w:val="Heading 6 Char"/>
    <w:aliases w:val="T1 Char,Header 6 Char"/>
    <w:link w:val="Heading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55211D"/>
  </w:style>
  <w:style w:type="numbering" w:customStyle="1" w:styleId="NoList3">
    <w:name w:val="No List3"/>
    <w:next w:val="NoList"/>
    <w:uiPriority w:val="99"/>
    <w:semiHidden/>
    <w:unhideWhenUsed/>
    <w:rsid w:val="0055211D"/>
  </w:style>
  <w:style w:type="numbering" w:customStyle="1" w:styleId="NoList4">
    <w:name w:val="No List4"/>
    <w:next w:val="NoList"/>
    <w:uiPriority w:val="99"/>
    <w:semiHidden/>
    <w:unhideWhenUsed/>
    <w:rsid w:val="0055211D"/>
  </w:style>
  <w:style w:type="table" w:customStyle="1" w:styleId="TableGrid1">
    <w:name w:val="Table Grid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semiHidden/>
    <w:unhideWhenUsed/>
    <w:rsid w:val="0055211D"/>
  </w:style>
  <w:style w:type="character" w:customStyle="1" w:styleId="Heading7Char">
    <w:name w:val="Heading 7 Char"/>
    <w:link w:val="Heading7"/>
    <w:rsid w:val="0055211D"/>
    <w:rPr>
      <w:rFonts w:ascii="Arial" w:eastAsia="Arial" w:hAnsi="Arial"/>
      <w:lang w:val="en-GB" w:eastAsia="en-US"/>
    </w:rPr>
  </w:style>
  <w:style w:type="character" w:customStyle="1" w:styleId="Heading8Char">
    <w:name w:val="Heading 8 Char"/>
    <w:link w:val="Heading8"/>
    <w:rsid w:val="0055211D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55211D"/>
  </w:style>
  <w:style w:type="numbering" w:customStyle="1" w:styleId="NoList21">
    <w:name w:val="No List21"/>
    <w:next w:val="NoList"/>
    <w:uiPriority w:val="99"/>
    <w:semiHidden/>
    <w:unhideWhenUsed/>
    <w:rsid w:val="0055211D"/>
  </w:style>
  <w:style w:type="numbering" w:customStyle="1" w:styleId="NoList31">
    <w:name w:val="No List31"/>
    <w:next w:val="NoList"/>
    <w:uiPriority w:val="99"/>
    <w:semiHidden/>
    <w:unhideWhenUsed/>
    <w:rsid w:val="0055211D"/>
  </w:style>
  <w:style w:type="numbering" w:customStyle="1" w:styleId="NoList41">
    <w:name w:val="No List41"/>
    <w:next w:val="NoList"/>
    <w:uiPriority w:val="99"/>
    <w:semiHidden/>
    <w:unhideWhenUsed/>
    <w:rsid w:val="0055211D"/>
  </w:style>
  <w:style w:type="table" w:customStyle="1" w:styleId="TableGrid11">
    <w:name w:val="Table Grid11"/>
    <w:basedOn w:val="TableNormal"/>
    <w:next w:val="TableGrid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unhideWhenUsed/>
    <w:rsid w:val="0055211D"/>
  </w:style>
  <w:style w:type="table" w:customStyle="1" w:styleId="TableGrid3">
    <w:name w:val="Table Grid3"/>
    <w:basedOn w:val="TableNormal"/>
    <w:next w:val="TableGrid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Normal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IntenseEmphasis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Normal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PlainTextChar">
    <w:name w:val="Plain Text Char"/>
    <w:link w:val="PlainText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Normal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Strong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3">
    <w:name w:val="List Number 3"/>
    <w:basedOn w:val="Normal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ListNumber4">
    <w:name w:val="List Number 4"/>
    <w:basedOn w:val="Normal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55211D"/>
    <w:tblPr/>
  </w:style>
  <w:style w:type="paragraph" w:customStyle="1" w:styleId="Bullet">
    <w:name w:val="Bullet"/>
    <w:basedOn w:val="Normal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Normal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Normal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Normal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수정"/>
    <w:hidden/>
    <w:semiHidden/>
    <w:rsid w:val="0055211D"/>
    <w:rPr>
      <w:rFonts w:eastAsia="Batang"/>
      <w:lang w:val="en-GB"/>
    </w:rPr>
  </w:style>
  <w:style w:type="paragraph" w:customStyle="1" w:styleId="1">
    <w:name w:val="修订1"/>
    <w:hidden/>
    <w:semiHidden/>
    <w:rsid w:val="0055211D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55211D"/>
    <w:rPr>
      <w:rFonts w:eastAsia="Times New Roman"/>
      <w:lang w:val="en-GB" w:eastAsia="x-none"/>
    </w:rPr>
  </w:style>
  <w:style w:type="paragraph" w:customStyle="1" w:styleId="a3">
    <w:name w:val="変更箇所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Normal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NoteHeadingChar">
    <w:name w:val="Note Heading Char"/>
    <w:link w:val="NoteHeading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unhideWhenUsed/>
    <w:rsid w:val="0055211D"/>
  </w:style>
  <w:style w:type="numbering" w:customStyle="1" w:styleId="NoList8">
    <w:name w:val="No List8"/>
    <w:next w:val="NoList"/>
    <w:uiPriority w:val="99"/>
    <w:semiHidden/>
    <w:unhideWhenUsed/>
    <w:rsid w:val="0055211D"/>
  </w:style>
  <w:style w:type="character" w:styleId="PlaceholderText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NoList"/>
    <w:uiPriority w:val="99"/>
    <w:semiHidden/>
    <w:unhideWhenUsed/>
    <w:rsid w:val="0055211D"/>
  </w:style>
  <w:style w:type="table" w:customStyle="1" w:styleId="TableGrid7">
    <w:name w:val="Table Grid7"/>
    <w:basedOn w:val="TableNormal"/>
    <w:next w:val="TableGrid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Normal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NoList"/>
    <w:rsid w:val="00133663"/>
    <w:pPr>
      <w:numPr>
        <w:numId w:val="15"/>
      </w:numPr>
    </w:pPr>
  </w:style>
  <w:style w:type="character" w:customStyle="1" w:styleId="textbodybold1">
    <w:name w:val="textbodybold1"/>
    <w:rsid w:val="00AA0FA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1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7D928-8802-4914-91A0-CBC3A00E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6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10836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Laurent Noel</dc:creator>
  <cp:lastModifiedBy>Laurent Noel</cp:lastModifiedBy>
  <cp:revision>2</cp:revision>
  <cp:lastPrinted>2010-01-07T15:23:00Z</cp:lastPrinted>
  <dcterms:created xsi:type="dcterms:W3CDTF">2020-05-15T22:48:00Z</dcterms:created>
  <dcterms:modified xsi:type="dcterms:W3CDTF">2020-05-15T22:48:00Z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